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6F6EC" w14:textId="124C8E53" w:rsidR="00500693" w:rsidRPr="00866903" w:rsidRDefault="00500693" w:rsidP="00500693">
      <w:pPr>
        <w:spacing w:line="257" w:lineRule="auto"/>
        <w:ind w:right="16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 xml:space="preserve">OBRAZLOŽENJE POLUGODIŠNJEG IZVJEŠTAJA O IZVRŠENJU PRORAČUNA OPĆINE </w:t>
      </w:r>
      <w:r w:rsidR="002D5DF4">
        <w:rPr>
          <w:rFonts w:ascii="Times New Roman" w:eastAsia="Arial Narrow" w:hAnsi="Times New Roman" w:cs="Times New Roman"/>
          <w:b/>
          <w:sz w:val="24"/>
          <w:szCs w:val="24"/>
        </w:rPr>
        <w:t>ČEPIN</w:t>
      </w: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 xml:space="preserve"> ZA 2023. GODINU</w:t>
      </w:r>
    </w:p>
    <w:p w14:paraId="436B9E6A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A92AD1" w14:textId="77777777" w:rsidR="00500693" w:rsidRPr="00866903" w:rsidRDefault="00500693" w:rsidP="00500693">
      <w:pPr>
        <w:spacing w:line="39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DC5363" w14:textId="77777777" w:rsidR="00500693" w:rsidRPr="00866903" w:rsidRDefault="00500693" w:rsidP="00500693">
      <w:pPr>
        <w:numPr>
          <w:ilvl w:val="0"/>
          <w:numId w:val="1"/>
        </w:numPr>
        <w:tabs>
          <w:tab w:val="left" w:pos="704"/>
        </w:tabs>
        <w:spacing w:line="0" w:lineRule="atLeast"/>
        <w:ind w:left="704" w:hanging="704"/>
        <w:rPr>
          <w:rFonts w:ascii="Times New Roman" w:eastAsia="Arial Narrow" w:hAnsi="Times New Roman" w:cs="Times New Roman"/>
          <w:b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sz w:val="24"/>
          <w:szCs w:val="24"/>
          <w:u w:val="single"/>
        </w:rPr>
        <w:t>UVODNE NAPOMENE</w:t>
      </w:r>
    </w:p>
    <w:p w14:paraId="6577F765" w14:textId="77777777" w:rsidR="00500693" w:rsidRPr="00866903" w:rsidRDefault="00500693" w:rsidP="00500693">
      <w:pPr>
        <w:spacing w:line="183" w:lineRule="exact"/>
        <w:rPr>
          <w:rFonts w:ascii="Times New Roman" w:eastAsia="Arial Narrow" w:hAnsi="Times New Roman" w:cs="Times New Roman"/>
          <w:b/>
          <w:sz w:val="24"/>
          <w:szCs w:val="24"/>
        </w:rPr>
      </w:pPr>
    </w:p>
    <w:p w14:paraId="465AD667" w14:textId="77777777" w:rsidR="00500693" w:rsidRPr="00866903" w:rsidRDefault="00500693" w:rsidP="00500693">
      <w:pPr>
        <w:spacing w:line="258" w:lineRule="auto"/>
        <w:ind w:left="704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Zakonom o proračunu („Narodne novine“ br. 144/21) i Pravilnikom o polugodišnjem i godišnjem izvještaju o izvršenju Proračuna („Narodne novine“ br. 85/23) propisana je obveza sastavljanja i podnošenja polugodišnjeg izvještaja o izvršenju proračuna predstavničkom tijelu na donošenje do 30. rujna tekuće proračunske godine.</w:t>
      </w:r>
    </w:p>
    <w:p w14:paraId="25DFF8CC" w14:textId="77777777" w:rsidR="00500693" w:rsidRPr="00866903" w:rsidRDefault="00500693" w:rsidP="00500693">
      <w:pPr>
        <w:spacing w:line="164" w:lineRule="exact"/>
        <w:rPr>
          <w:rFonts w:ascii="Times New Roman" w:eastAsia="Arial Narrow" w:hAnsi="Times New Roman" w:cs="Times New Roman"/>
          <w:b/>
          <w:sz w:val="24"/>
          <w:szCs w:val="24"/>
        </w:rPr>
      </w:pPr>
    </w:p>
    <w:p w14:paraId="1C58799C" w14:textId="77777777" w:rsidR="00500693" w:rsidRPr="00866903" w:rsidRDefault="00500693" w:rsidP="00500693">
      <w:pPr>
        <w:spacing w:line="355" w:lineRule="auto"/>
        <w:ind w:left="704" w:right="20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Zakonom o proračunu i Pravilnikom o polugodišnjem i godišnjem izvještaju o izvršenju proračuna („Narodne novine“ br. 85/23 članak 4. propisan je sadržaj polugodišnjeg Izvještaja o izvršenju proračuna. Polugodišnji izvještaj o izvršenju proračuna sadrži: opći dio, posebni dio, obrazloženje i posebne izvještaje.</w:t>
      </w:r>
    </w:p>
    <w:p w14:paraId="093E24CD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1678C2" w14:textId="77777777" w:rsidR="00500693" w:rsidRPr="00866903" w:rsidRDefault="00500693" w:rsidP="00500693">
      <w:pPr>
        <w:spacing w:line="3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236B5D" w14:textId="77777777" w:rsidR="00500693" w:rsidRPr="00866903" w:rsidRDefault="00500693" w:rsidP="00500693">
      <w:pPr>
        <w:tabs>
          <w:tab w:val="left" w:pos="1043"/>
        </w:tabs>
        <w:spacing w:line="0" w:lineRule="atLeast"/>
        <w:ind w:left="704"/>
        <w:rPr>
          <w:rFonts w:ascii="Times New Roman" w:eastAsia="Arial Narrow" w:hAnsi="Times New Roman" w:cs="Times New Roman"/>
          <w:b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>1.</w:t>
      </w: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ab/>
        <w:t>Opći dio polugodišnjeg izvještaja o izvršenju proračuna sadrži:</w:t>
      </w:r>
    </w:p>
    <w:p w14:paraId="0EDAB42B" w14:textId="77777777" w:rsidR="00500693" w:rsidRPr="00866903" w:rsidRDefault="00500693" w:rsidP="00500693">
      <w:pPr>
        <w:spacing w:line="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3E7FE1" w14:textId="77777777" w:rsidR="00500693" w:rsidRPr="00866903" w:rsidRDefault="00500693" w:rsidP="00500693">
      <w:pPr>
        <w:numPr>
          <w:ilvl w:val="0"/>
          <w:numId w:val="2"/>
        </w:numPr>
        <w:tabs>
          <w:tab w:val="left" w:pos="1064"/>
        </w:tabs>
        <w:spacing w:line="0" w:lineRule="atLeast"/>
        <w:ind w:left="1064" w:hanging="356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Sažetak Računa prihoda i rashoda i račun financiranja</w:t>
      </w:r>
    </w:p>
    <w:p w14:paraId="33BCC5A9" w14:textId="77777777" w:rsidR="00500693" w:rsidRPr="00866903" w:rsidRDefault="00500693" w:rsidP="00500693">
      <w:pPr>
        <w:spacing w:line="18" w:lineRule="exact"/>
        <w:rPr>
          <w:rFonts w:ascii="Times New Roman" w:eastAsia="Arial Narrow" w:hAnsi="Times New Roman" w:cs="Times New Roman"/>
          <w:sz w:val="24"/>
          <w:szCs w:val="24"/>
        </w:rPr>
      </w:pPr>
    </w:p>
    <w:p w14:paraId="6BF7C606" w14:textId="77777777" w:rsidR="00500693" w:rsidRPr="00866903" w:rsidRDefault="00500693" w:rsidP="00500693">
      <w:pPr>
        <w:numPr>
          <w:ilvl w:val="0"/>
          <w:numId w:val="2"/>
        </w:numPr>
        <w:tabs>
          <w:tab w:val="left" w:pos="1064"/>
        </w:tabs>
        <w:spacing w:line="0" w:lineRule="atLeast"/>
        <w:ind w:left="1064" w:hanging="356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Račun prihoda i rashoda i</w:t>
      </w:r>
    </w:p>
    <w:p w14:paraId="1B74C805" w14:textId="77777777" w:rsidR="00500693" w:rsidRPr="00866903" w:rsidRDefault="00500693" w:rsidP="00500693">
      <w:pPr>
        <w:spacing w:line="18" w:lineRule="exact"/>
        <w:rPr>
          <w:rFonts w:ascii="Times New Roman" w:eastAsia="Arial Narrow" w:hAnsi="Times New Roman" w:cs="Times New Roman"/>
          <w:sz w:val="24"/>
          <w:szCs w:val="24"/>
        </w:rPr>
      </w:pPr>
    </w:p>
    <w:p w14:paraId="6A2A3AC3" w14:textId="77777777" w:rsidR="00500693" w:rsidRPr="00866903" w:rsidRDefault="00500693" w:rsidP="00500693">
      <w:pPr>
        <w:numPr>
          <w:ilvl w:val="0"/>
          <w:numId w:val="2"/>
        </w:numPr>
        <w:tabs>
          <w:tab w:val="left" w:pos="1064"/>
        </w:tabs>
        <w:spacing w:line="0" w:lineRule="atLeast"/>
        <w:ind w:left="1064" w:hanging="356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Račun financiranja</w:t>
      </w:r>
    </w:p>
    <w:p w14:paraId="711D2799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8513D8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56F14D" w14:textId="77777777" w:rsidR="00500693" w:rsidRPr="00866903" w:rsidRDefault="00500693" w:rsidP="00500693">
      <w:pPr>
        <w:spacing w:line="2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73FAC7" w14:textId="77777777" w:rsidR="00500693" w:rsidRPr="00866903" w:rsidRDefault="00500693" w:rsidP="00500693">
      <w:pPr>
        <w:tabs>
          <w:tab w:val="left" w:pos="1043"/>
        </w:tabs>
        <w:spacing w:line="0" w:lineRule="atLeast"/>
        <w:ind w:left="704"/>
        <w:rPr>
          <w:rFonts w:ascii="Times New Roman" w:eastAsia="Arial Narrow" w:hAnsi="Times New Roman" w:cs="Times New Roman"/>
          <w:b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>2.</w:t>
      </w: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ab/>
        <w:t>Posebni dio polugodišnjeg izvještaja o izvršenju proračuna sadrži:</w:t>
      </w:r>
    </w:p>
    <w:p w14:paraId="60687C08" w14:textId="77777777" w:rsidR="00500693" w:rsidRPr="00866903" w:rsidRDefault="00500693" w:rsidP="00500693">
      <w:pPr>
        <w:spacing w:line="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6B33A6" w14:textId="77777777" w:rsidR="00500693" w:rsidRPr="00866903" w:rsidRDefault="00500693" w:rsidP="00500693">
      <w:pPr>
        <w:numPr>
          <w:ilvl w:val="0"/>
          <w:numId w:val="3"/>
        </w:numPr>
        <w:tabs>
          <w:tab w:val="left" w:pos="1064"/>
        </w:tabs>
        <w:spacing w:line="0" w:lineRule="atLeast"/>
        <w:ind w:left="1064" w:hanging="356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Izvještaj po organizacijskoj klasifikaciji</w:t>
      </w:r>
    </w:p>
    <w:p w14:paraId="62A91AA1" w14:textId="77777777" w:rsidR="00500693" w:rsidRPr="00866903" w:rsidRDefault="00500693" w:rsidP="00500693">
      <w:pPr>
        <w:spacing w:line="16" w:lineRule="exact"/>
        <w:rPr>
          <w:rFonts w:ascii="Times New Roman" w:eastAsia="Arial Narrow" w:hAnsi="Times New Roman" w:cs="Times New Roman"/>
          <w:sz w:val="24"/>
          <w:szCs w:val="24"/>
        </w:rPr>
      </w:pPr>
    </w:p>
    <w:p w14:paraId="0C6F7C97" w14:textId="77777777" w:rsidR="00500693" w:rsidRPr="00866903" w:rsidRDefault="00500693" w:rsidP="00500693">
      <w:pPr>
        <w:numPr>
          <w:ilvl w:val="0"/>
          <w:numId w:val="3"/>
        </w:numPr>
        <w:tabs>
          <w:tab w:val="left" w:pos="1064"/>
        </w:tabs>
        <w:spacing w:line="0" w:lineRule="atLeast"/>
        <w:ind w:left="1064" w:hanging="356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Izvještaj po programskoj klasifikaciji</w:t>
      </w:r>
    </w:p>
    <w:p w14:paraId="2C0B6820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A6611A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E7F53E" w14:textId="77777777" w:rsidR="00500693" w:rsidRPr="00866903" w:rsidRDefault="00500693" w:rsidP="00500693">
      <w:pPr>
        <w:spacing w:line="2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B81A59" w14:textId="77777777" w:rsidR="00500693" w:rsidRPr="00866903" w:rsidRDefault="00500693" w:rsidP="00500693">
      <w:pPr>
        <w:tabs>
          <w:tab w:val="left" w:pos="1043"/>
        </w:tabs>
        <w:spacing w:line="0" w:lineRule="atLeast"/>
        <w:ind w:left="704"/>
        <w:rPr>
          <w:rFonts w:ascii="Times New Roman" w:eastAsia="Arial Narrow" w:hAnsi="Times New Roman" w:cs="Times New Roman"/>
          <w:b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>3.</w:t>
      </w: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ab/>
        <w:t>Obrazloženje polugodišnjeg izvještaja o izvršenju proračuna sadrži:</w:t>
      </w:r>
    </w:p>
    <w:p w14:paraId="07D7A579" w14:textId="77777777" w:rsidR="00500693" w:rsidRPr="00866903" w:rsidRDefault="00500693" w:rsidP="00500693">
      <w:pPr>
        <w:spacing w:line="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F3BDF6" w14:textId="77777777" w:rsidR="00500693" w:rsidRPr="00866903" w:rsidRDefault="00500693" w:rsidP="00500693">
      <w:pPr>
        <w:tabs>
          <w:tab w:val="left" w:pos="1043"/>
        </w:tabs>
        <w:spacing w:line="0" w:lineRule="atLeast"/>
        <w:ind w:left="704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a)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ab/>
        <w:t>Obrazloženje općeg dijela izvještaja o izvršenju proračuna</w:t>
      </w:r>
    </w:p>
    <w:p w14:paraId="7FCB909B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778F75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C74CCD" w14:textId="77777777" w:rsidR="00500693" w:rsidRPr="00866903" w:rsidRDefault="00500693" w:rsidP="00500693">
      <w:pPr>
        <w:spacing w:line="2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DA3162" w14:textId="77777777" w:rsidR="00500693" w:rsidRPr="00866903" w:rsidRDefault="00500693" w:rsidP="00500693">
      <w:pPr>
        <w:tabs>
          <w:tab w:val="left" w:pos="1043"/>
        </w:tabs>
        <w:spacing w:line="0" w:lineRule="atLeast"/>
        <w:ind w:left="704"/>
        <w:rPr>
          <w:rFonts w:ascii="Times New Roman" w:eastAsia="Arial Narrow" w:hAnsi="Times New Roman" w:cs="Times New Roman"/>
          <w:b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>4.</w:t>
      </w: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ab/>
        <w:t>Posebni izvještaji u polugodišnjem izvještaju o izvršenju proračuna:</w:t>
      </w:r>
    </w:p>
    <w:p w14:paraId="0DA55F6F" w14:textId="77777777" w:rsidR="00500693" w:rsidRPr="00866903" w:rsidRDefault="00500693" w:rsidP="00500693">
      <w:pPr>
        <w:spacing w:line="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4AEF35" w14:textId="77777777" w:rsidR="00500693" w:rsidRPr="00866903" w:rsidRDefault="00500693" w:rsidP="00500693">
      <w:pPr>
        <w:numPr>
          <w:ilvl w:val="0"/>
          <w:numId w:val="4"/>
        </w:numPr>
        <w:tabs>
          <w:tab w:val="left" w:pos="1064"/>
        </w:tabs>
        <w:spacing w:line="0" w:lineRule="atLeast"/>
        <w:ind w:left="1064" w:hanging="356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Izvještaj o korištenju proračunske zalihe</w:t>
      </w:r>
    </w:p>
    <w:p w14:paraId="01C77B7B" w14:textId="77777777" w:rsidR="00500693" w:rsidRPr="00866903" w:rsidRDefault="00500693" w:rsidP="00500693">
      <w:pPr>
        <w:spacing w:line="18" w:lineRule="exact"/>
        <w:rPr>
          <w:rFonts w:ascii="Times New Roman" w:eastAsia="Arial Narrow" w:hAnsi="Times New Roman" w:cs="Times New Roman"/>
          <w:sz w:val="24"/>
          <w:szCs w:val="24"/>
        </w:rPr>
      </w:pPr>
    </w:p>
    <w:p w14:paraId="5CD8CC23" w14:textId="77777777" w:rsidR="00500693" w:rsidRPr="00866903" w:rsidRDefault="00500693" w:rsidP="00500693">
      <w:pPr>
        <w:numPr>
          <w:ilvl w:val="0"/>
          <w:numId w:val="4"/>
        </w:numPr>
        <w:tabs>
          <w:tab w:val="left" w:pos="1064"/>
        </w:tabs>
        <w:spacing w:line="0" w:lineRule="atLeast"/>
        <w:ind w:left="1064" w:hanging="356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Izvještaj o zaduživanju na domaćem i stranom tržištu novca i kapitala i</w:t>
      </w:r>
    </w:p>
    <w:p w14:paraId="041C4C3D" w14:textId="77777777" w:rsidR="00500693" w:rsidRPr="00866903" w:rsidRDefault="00500693" w:rsidP="00500693">
      <w:pPr>
        <w:spacing w:line="18" w:lineRule="exact"/>
        <w:rPr>
          <w:rFonts w:ascii="Times New Roman" w:eastAsia="Arial Narrow" w:hAnsi="Times New Roman" w:cs="Times New Roman"/>
          <w:sz w:val="24"/>
          <w:szCs w:val="24"/>
        </w:rPr>
      </w:pPr>
    </w:p>
    <w:p w14:paraId="4CA56B65" w14:textId="77777777" w:rsidR="00500693" w:rsidRPr="00866903" w:rsidRDefault="00500693" w:rsidP="00500693">
      <w:pPr>
        <w:numPr>
          <w:ilvl w:val="0"/>
          <w:numId w:val="4"/>
        </w:numPr>
        <w:tabs>
          <w:tab w:val="left" w:pos="1064"/>
        </w:tabs>
        <w:spacing w:line="0" w:lineRule="atLeast"/>
        <w:ind w:left="1064" w:hanging="356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Izvještaj o danim jamstvima i plaćanjima po protestiranim jamstvima</w:t>
      </w:r>
    </w:p>
    <w:p w14:paraId="0115D41E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772EE2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4E5F7C" w14:textId="77777777" w:rsidR="00500693" w:rsidRPr="00866903" w:rsidRDefault="00500693" w:rsidP="00500693">
      <w:pPr>
        <w:spacing w:line="2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B1CCA5" w14:textId="3673DACA" w:rsidR="00500693" w:rsidRPr="00866903" w:rsidRDefault="00500693" w:rsidP="00500693">
      <w:pPr>
        <w:spacing w:line="256" w:lineRule="auto"/>
        <w:ind w:left="4" w:right="20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U skladu s ovom zakonskom obvezom sastavljen je Polugodišnji izvještaj o izvršenju Proračuna Općine </w:t>
      </w:r>
      <w:r w:rsidR="009663EF">
        <w:rPr>
          <w:rFonts w:ascii="Times New Roman" w:eastAsia="Arial Narrow" w:hAnsi="Times New Roman" w:cs="Times New Roman"/>
          <w:sz w:val="24"/>
          <w:szCs w:val="24"/>
        </w:rPr>
        <w:t>Čepin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za 2023. godinu.</w:t>
      </w:r>
    </w:p>
    <w:p w14:paraId="3504C36A" w14:textId="77777777" w:rsidR="00500693" w:rsidRPr="00866903" w:rsidRDefault="00500693" w:rsidP="00500693">
      <w:pPr>
        <w:spacing w:line="16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C97B86" w14:textId="77777777" w:rsidR="00500693" w:rsidRPr="00866903" w:rsidRDefault="00500693" w:rsidP="00500693">
      <w:pPr>
        <w:spacing w:line="0" w:lineRule="atLeast"/>
        <w:ind w:left="4"/>
        <w:rPr>
          <w:rFonts w:ascii="Times New Roman" w:eastAsia="Arial Narrow" w:hAnsi="Times New Roman" w:cs="Times New Roman"/>
          <w:b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>Financiranje javnih rashoda izvršeno je na osnovi slijedećih financijsko planskih dokumenata :</w:t>
      </w:r>
    </w:p>
    <w:p w14:paraId="56947821" w14:textId="3C6B9AB0" w:rsidR="00500693" w:rsidRPr="00866903" w:rsidRDefault="00500693" w:rsidP="00500693">
      <w:pPr>
        <w:numPr>
          <w:ilvl w:val="0"/>
          <w:numId w:val="5"/>
        </w:numPr>
        <w:tabs>
          <w:tab w:val="left" w:pos="724"/>
        </w:tabs>
        <w:spacing w:line="183" w:lineRule="auto"/>
        <w:ind w:left="724" w:hanging="364"/>
        <w:rPr>
          <w:rFonts w:ascii="Times New Roman" w:eastAsia="MS PGothic" w:hAnsi="Times New Roman" w:cs="Times New Roman"/>
          <w:sz w:val="24"/>
          <w:szCs w:val="24"/>
          <w:vertAlign w:val="superscript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Proračun Općine </w:t>
      </w:r>
      <w:r w:rsidR="002D5DF4">
        <w:rPr>
          <w:rFonts w:ascii="Times New Roman" w:eastAsia="Arial Narrow" w:hAnsi="Times New Roman" w:cs="Times New Roman"/>
          <w:sz w:val="24"/>
          <w:szCs w:val="24"/>
        </w:rPr>
        <w:t>Čepin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za 2023. godinu (Službeni glasnik Općine </w:t>
      </w:r>
      <w:r w:rsidR="002D5DF4">
        <w:rPr>
          <w:rFonts w:ascii="Times New Roman" w:eastAsia="Arial Narrow" w:hAnsi="Times New Roman" w:cs="Times New Roman"/>
          <w:sz w:val="24"/>
          <w:szCs w:val="24"/>
        </w:rPr>
        <w:t>Čepin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broj </w:t>
      </w:r>
      <w:r w:rsidR="002D5DF4">
        <w:rPr>
          <w:rFonts w:ascii="Times New Roman" w:eastAsia="Arial Narrow" w:hAnsi="Times New Roman" w:cs="Times New Roman"/>
          <w:sz w:val="24"/>
          <w:szCs w:val="24"/>
        </w:rPr>
        <w:t>29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>/2022),</w:t>
      </w:r>
    </w:p>
    <w:p w14:paraId="18D16986" w14:textId="77777777" w:rsidR="00500693" w:rsidRPr="00866903" w:rsidRDefault="00500693" w:rsidP="00500693">
      <w:pPr>
        <w:spacing w:line="3" w:lineRule="exact"/>
        <w:rPr>
          <w:rFonts w:ascii="Times New Roman" w:eastAsia="MS PGothic" w:hAnsi="Times New Roman" w:cs="Times New Roman"/>
          <w:sz w:val="24"/>
          <w:szCs w:val="24"/>
          <w:vertAlign w:val="superscript"/>
        </w:rPr>
      </w:pPr>
    </w:p>
    <w:p w14:paraId="34CA03DC" w14:textId="5A9E26C1" w:rsidR="00500693" w:rsidRPr="00866903" w:rsidRDefault="00500693" w:rsidP="00500693">
      <w:pPr>
        <w:numPr>
          <w:ilvl w:val="0"/>
          <w:numId w:val="5"/>
        </w:numPr>
        <w:tabs>
          <w:tab w:val="left" w:pos="724"/>
        </w:tabs>
        <w:spacing w:line="182" w:lineRule="auto"/>
        <w:ind w:left="724" w:right="20" w:hanging="364"/>
        <w:rPr>
          <w:rFonts w:ascii="Times New Roman" w:eastAsia="MS PGothic" w:hAnsi="Times New Roman" w:cs="Times New Roman"/>
          <w:sz w:val="24"/>
          <w:szCs w:val="24"/>
          <w:vertAlign w:val="superscript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Odluka o izvršavanju proračuna Općine </w:t>
      </w:r>
      <w:r w:rsidR="002D5DF4">
        <w:rPr>
          <w:rFonts w:ascii="Times New Roman" w:eastAsia="Arial Narrow" w:hAnsi="Times New Roman" w:cs="Times New Roman"/>
          <w:sz w:val="24"/>
          <w:szCs w:val="24"/>
        </w:rPr>
        <w:t>Čepin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za 2023. godinu (Službeni glasnik Općine </w:t>
      </w:r>
      <w:r w:rsidR="00114F04">
        <w:rPr>
          <w:rFonts w:ascii="Times New Roman" w:eastAsia="Arial Narrow" w:hAnsi="Times New Roman" w:cs="Times New Roman"/>
          <w:sz w:val="24"/>
          <w:szCs w:val="24"/>
        </w:rPr>
        <w:t>Čepin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broj </w:t>
      </w:r>
      <w:r w:rsidR="002D5DF4">
        <w:rPr>
          <w:rFonts w:ascii="Times New Roman" w:eastAsia="Arial Narrow" w:hAnsi="Times New Roman" w:cs="Times New Roman"/>
          <w:sz w:val="24"/>
          <w:szCs w:val="24"/>
        </w:rPr>
        <w:t>29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>/2022),</w:t>
      </w:r>
    </w:p>
    <w:p w14:paraId="4502E204" w14:textId="77777777" w:rsidR="00500693" w:rsidRPr="00866903" w:rsidRDefault="00500693" w:rsidP="00500693">
      <w:pPr>
        <w:spacing w:line="3" w:lineRule="exact"/>
        <w:rPr>
          <w:rFonts w:ascii="Times New Roman" w:eastAsia="MS PGothic" w:hAnsi="Times New Roman" w:cs="Times New Roman"/>
          <w:sz w:val="24"/>
          <w:szCs w:val="24"/>
          <w:vertAlign w:val="superscript"/>
        </w:rPr>
      </w:pPr>
    </w:p>
    <w:p w14:paraId="48F8ED29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AF13B1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931FF4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51AA0E" w14:textId="77777777" w:rsidR="00500693" w:rsidRPr="00866903" w:rsidRDefault="00500693" w:rsidP="00500693">
      <w:pPr>
        <w:spacing w:line="2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F5B873" w14:textId="77777777" w:rsidR="00500693" w:rsidRPr="00866903" w:rsidRDefault="00500693" w:rsidP="00500693">
      <w:pPr>
        <w:numPr>
          <w:ilvl w:val="0"/>
          <w:numId w:val="6"/>
        </w:numPr>
        <w:tabs>
          <w:tab w:val="left" w:pos="1080"/>
        </w:tabs>
        <w:spacing w:line="0" w:lineRule="atLeast"/>
        <w:ind w:left="1080" w:hanging="724"/>
        <w:rPr>
          <w:rFonts w:ascii="Times New Roman" w:eastAsia="Arial Narrow" w:hAnsi="Times New Roman" w:cs="Times New Roman"/>
          <w:b/>
          <w:sz w:val="24"/>
          <w:szCs w:val="24"/>
        </w:rPr>
      </w:pPr>
      <w:bookmarkStart w:id="0" w:name="page42"/>
      <w:bookmarkEnd w:id="0"/>
      <w:r w:rsidRPr="00866903">
        <w:rPr>
          <w:rFonts w:ascii="Times New Roman" w:eastAsia="Arial Narrow" w:hAnsi="Times New Roman" w:cs="Times New Roman"/>
          <w:b/>
          <w:sz w:val="24"/>
          <w:szCs w:val="24"/>
        </w:rPr>
        <w:lastRenderedPageBreak/>
        <w:t>OBRAZLOŽENJE OPĆEG DIJELA IZVJEŠTAJ O IZVRŠENJU PRORAČUNA</w:t>
      </w:r>
    </w:p>
    <w:p w14:paraId="55B1D3B1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1304D2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ACA5C2" w14:textId="77777777" w:rsidR="00500693" w:rsidRPr="00866903" w:rsidRDefault="00500693" w:rsidP="00500693">
      <w:pPr>
        <w:spacing w:line="2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5FE987" w14:textId="2A61F6EC" w:rsidR="00500693" w:rsidRPr="00DD1ACF" w:rsidRDefault="00500693" w:rsidP="00866903">
      <w:pPr>
        <w:tabs>
          <w:tab w:val="left" w:pos="142"/>
        </w:tabs>
        <w:spacing w:line="0" w:lineRule="atLeast"/>
        <w:ind w:left="426" w:hanging="426"/>
        <w:jc w:val="both"/>
        <w:rPr>
          <w:rFonts w:ascii="Times New Roman" w:eastAsia="Arial Narrow" w:hAnsi="Times New Roman" w:cs="Times New Roman"/>
          <w:b/>
          <w:iCs/>
          <w:sz w:val="24"/>
          <w:szCs w:val="24"/>
        </w:rPr>
      </w:pPr>
      <w:r w:rsidRPr="00DD1ACF">
        <w:rPr>
          <w:rFonts w:ascii="Times New Roman" w:eastAsia="Arial Narrow" w:hAnsi="Times New Roman" w:cs="Times New Roman"/>
          <w:b/>
          <w:iCs/>
          <w:sz w:val="24"/>
          <w:szCs w:val="24"/>
        </w:rPr>
        <w:t>1.</w:t>
      </w:r>
      <w:r w:rsidRPr="00DD1ACF">
        <w:rPr>
          <w:rFonts w:ascii="Times New Roman" w:eastAsia="Arial Narrow" w:hAnsi="Times New Roman" w:cs="Times New Roman"/>
          <w:b/>
          <w:iCs/>
          <w:sz w:val="24"/>
          <w:szCs w:val="24"/>
        </w:rPr>
        <w:tab/>
        <w:t xml:space="preserve">OBRAZLOŽENJE OSTVARENIH PRIHODA I PRIMITAKA, RASHODA I </w:t>
      </w:r>
      <w:r w:rsidR="00866903" w:rsidRPr="00DD1ACF">
        <w:rPr>
          <w:rFonts w:ascii="Times New Roman" w:eastAsia="Arial Narrow" w:hAnsi="Times New Roman" w:cs="Times New Roman"/>
          <w:b/>
          <w:iCs/>
          <w:sz w:val="24"/>
          <w:szCs w:val="24"/>
        </w:rPr>
        <w:t xml:space="preserve"> </w:t>
      </w:r>
      <w:r w:rsidRPr="00DD1ACF">
        <w:rPr>
          <w:rFonts w:ascii="Times New Roman" w:eastAsia="Arial Narrow" w:hAnsi="Times New Roman" w:cs="Times New Roman"/>
          <w:b/>
          <w:iCs/>
          <w:sz w:val="24"/>
          <w:szCs w:val="24"/>
        </w:rPr>
        <w:t>IZDATAKA</w:t>
      </w:r>
    </w:p>
    <w:p w14:paraId="0A8EC905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C28AA7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4DE73C" w14:textId="77777777" w:rsidR="00500693" w:rsidRPr="00866903" w:rsidRDefault="00500693" w:rsidP="00500693">
      <w:pPr>
        <w:spacing w:line="2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ACB5F8" w14:textId="7EF0C5FE" w:rsidR="00500693" w:rsidRPr="00866903" w:rsidRDefault="00500693" w:rsidP="00500693">
      <w:pPr>
        <w:spacing w:line="0" w:lineRule="atLeast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Ukupni prihodi/primici proračuna ostvareni su u visini </w:t>
      </w:r>
      <w:r w:rsidR="009663EF">
        <w:rPr>
          <w:rFonts w:ascii="Times New Roman" w:eastAsia="Arial Narrow" w:hAnsi="Times New Roman" w:cs="Times New Roman"/>
          <w:sz w:val="24"/>
          <w:szCs w:val="24"/>
        </w:rPr>
        <w:t>4.812.216,61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 odnosno </w:t>
      </w:r>
      <w:r w:rsidR="009663EF">
        <w:rPr>
          <w:rFonts w:ascii="Times New Roman" w:eastAsia="Arial Narrow" w:hAnsi="Times New Roman" w:cs="Times New Roman"/>
          <w:sz w:val="24"/>
          <w:szCs w:val="24"/>
        </w:rPr>
        <w:t>47,93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% od plana.</w:t>
      </w:r>
    </w:p>
    <w:p w14:paraId="43CDEEBE" w14:textId="77777777" w:rsidR="00500693" w:rsidRPr="00866903" w:rsidRDefault="00500693" w:rsidP="00500693">
      <w:pPr>
        <w:spacing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4CCE68" w14:textId="74453136" w:rsidR="00500693" w:rsidRPr="00866903" w:rsidRDefault="00500693" w:rsidP="00500693">
      <w:pPr>
        <w:spacing w:line="0" w:lineRule="atLeast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Ukupni rashodi/izdaci iznose </w:t>
      </w:r>
      <w:r w:rsidR="009663EF">
        <w:rPr>
          <w:rFonts w:ascii="Times New Roman" w:eastAsia="Arial Narrow" w:hAnsi="Times New Roman" w:cs="Times New Roman"/>
          <w:sz w:val="24"/>
          <w:szCs w:val="24"/>
        </w:rPr>
        <w:t>4.736</w:t>
      </w:r>
      <w:r w:rsidR="00C87451">
        <w:rPr>
          <w:rFonts w:ascii="Times New Roman" w:eastAsia="Arial Narrow" w:hAnsi="Times New Roman" w:cs="Times New Roman"/>
          <w:sz w:val="24"/>
          <w:szCs w:val="24"/>
        </w:rPr>
        <w:t>.</w:t>
      </w:r>
      <w:r w:rsidR="009663EF">
        <w:rPr>
          <w:rFonts w:ascii="Times New Roman" w:eastAsia="Arial Narrow" w:hAnsi="Times New Roman" w:cs="Times New Roman"/>
          <w:sz w:val="24"/>
          <w:szCs w:val="24"/>
        </w:rPr>
        <w:t>371,95</w:t>
      </w:r>
      <w:r w:rsidR="00144CFD">
        <w:rPr>
          <w:rFonts w:ascii="Times New Roman" w:eastAsia="Arial Narrow" w:hAnsi="Times New Roman" w:cs="Times New Roman"/>
          <w:sz w:val="24"/>
          <w:szCs w:val="24"/>
        </w:rPr>
        <w:t xml:space="preserve"> eura,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odnosno </w:t>
      </w:r>
      <w:r w:rsidR="009663EF">
        <w:rPr>
          <w:rFonts w:ascii="Times New Roman" w:eastAsia="Arial Narrow" w:hAnsi="Times New Roman" w:cs="Times New Roman"/>
          <w:sz w:val="24"/>
          <w:szCs w:val="24"/>
        </w:rPr>
        <w:t>47,18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% od plana.</w:t>
      </w:r>
    </w:p>
    <w:p w14:paraId="73974E62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A7074E" w14:textId="77777777" w:rsidR="00500693" w:rsidRPr="00866903" w:rsidRDefault="00500693" w:rsidP="00500693">
      <w:pPr>
        <w:spacing w:line="39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CFFEFF" w14:textId="77777777" w:rsidR="00500693" w:rsidRPr="00866903" w:rsidRDefault="00500693" w:rsidP="00DD1ACF">
      <w:pPr>
        <w:spacing w:line="0" w:lineRule="atLeast"/>
        <w:rPr>
          <w:rFonts w:ascii="Times New Roman" w:eastAsia="Arial Narrow" w:hAnsi="Times New Roman" w:cs="Times New Roman"/>
          <w:b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>1.1. PRIHODI I PRIMICI</w:t>
      </w:r>
    </w:p>
    <w:p w14:paraId="1E76574D" w14:textId="77777777" w:rsidR="00500693" w:rsidRPr="00866903" w:rsidRDefault="00500693" w:rsidP="00500693">
      <w:pPr>
        <w:spacing w:line="1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FFF692" w14:textId="244ACCE3" w:rsidR="00500693" w:rsidRPr="00866903" w:rsidRDefault="00500693" w:rsidP="00500693">
      <w:pPr>
        <w:spacing w:line="233" w:lineRule="auto"/>
        <w:ind w:right="20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Ukupni prihodi i primici ostvareni u promatranom razdoblju iznosili su </w:t>
      </w:r>
      <w:r w:rsidR="009663EF">
        <w:rPr>
          <w:rFonts w:ascii="Times New Roman" w:eastAsia="Arial Narrow" w:hAnsi="Times New Roman" w:cs="Times New Roman"/>
          <w:sz w:val="24"/>
          <w:szCs w:val="24"/>
        </w:rPr>
        <w:t>4.812.216,61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eura, odnosno </w:t>
      </w:r>
      <w:r w:rsidR="009663EF">
        <w:rPr>
          <w:rFonts w:ascii="Times New Roman" w:eastAsia="Arial Narrow" w:hAnsi="Times New Roman" w:cs="Times New Roman"/>
          <w:sz w:val="24"/>
          <w:szCs w:val="24"/>
        </w:rPr>
        <w:t>47,93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% planiran</w:t>
      </w:r>
      <w:r w:rsidR="009663EF">
        <w:rPr>
          <w:rFonts w:ascii="Times New Roman" w:eastAsia="Arial Narrow" w:hAnsi="Times New Roman" w:cs="Times New Roman"/>
          <w:sz w:val="24"/>
          <w:szCs w:val="24"/>
        </w:rPr>
        <w:t>ih prihoda i primitaka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u 2023. godini.</w:t>
      </w:r>
    </w:p>
    <w:p w14:paraId="42A31176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E1AE38" w14:textId="77777777" w:rsidR="00500693" w:rsidRPr="00866903" w:rsidRDefault="00500693" w:rsidP="00500693">
      <w:pPr>
        <w:spacing w:line="39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E53F5B" w14:textId="275E5E81" w:rsidR="00500693" w:rsidRPr="00866903" w:rsidRDefault="00500693" w:rsidP="00500693">
      <w:pPr>
        <w:spacing w:line="0" w:lineRule="atLeast"/>
        <w:rPr>
          <w:rFonts w:ascii="Times New Roman" w:eastAsia="Arial Narrow" w:hAnsi="Times New Roman" w:cs="Times New Roman"/>
          <w:b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 xml:space="preserve">Prihodi Općine </w:t>
      </w:r>
      <w:r w:rsidR="002D5DF4">
        <w:rPr>
          <w:rFonts w:ascii="Times New Roman" w:eastAsia="Arial Narrow" w:hAnsi="Times New Roman" w:cs="Times New Roman"/>
          <w:b/>
          <w:sz w:val="24"/>
          <w:szCs w:val="24"/>
        </w:rPr>
        <w:t>Čepin</w:t>
      </w: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 xml:space="preserve"> u prvom polugodištu 2023. godine su:</w:t>
      </w:r>
    </w:p>
    <w:p w14:paraId="55BC7BEB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EADBDC" w14:textId="77777777" w:rsidR="00500693" w:rsidRPr="00866903" w:rsidRDefault="00500693" w:rsidP="00500693">
      <w:pPr>
        <w:spacing w:line="39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015991" w14:textId="77777777" w:rsidR="00500693" w:rsidRPr="00866903" w:rsidRDefault="00500693" w:rsidP="00500693">
      <w:pPr>
        <w:numPr>
          <w:ilvl w:val="1"/>
          <w:numId w:val="7"/>
        </w:numPr>
        <w:tabs>
          <w:tab w:val="left" w:pos="980"/>
        </w:tabs>
        <w:spacing w:line="0" w:lineRule="atLeast"/>
        <w:ind w:left="980" w:hanging="264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PRIHODI POSLOVANJA,</w:t>
      </w:r>
    </w:p>
    <w:p w14:paraId="51D5F6ED" w14:textId="77777777" w:rsidR="00500693" w:rsidRPr="00866903" w:rsidRDefault="00500693" w:rsidP="00500693">
      <w:pPr>
        <w:spacing w:line="251" w:lineRule="exact"/>
        <w:rPr>
          <w:rFonts w:ascii="Times New Roman" w:eastAsia="Arial Narrow" w:hAnsi="Times New Roman" w:cs="Times New Roman"/>
          <w:sz w:val="24"/>
          <w:szCs w:val="24"/>
        </w:rPr>
      </w:pPr>
    </w:p>
    <w:p w14:paraId="186EC77A" w14:textId="77777777" w:rsidR="00500693" w:rsidRPr="00866903" w:rsidRDefault="00500693" w:rsidP="00500693">
      <w:pPr>
        <w:numPr>
          <w:ilvl w:val="0"/>
          <w:numId w:val="8"/>
        </w:numPr>
        <w:tabs>
          <w:tab w:val="left" w:pos="1000"/>
        </w:tabs>
        <w:spacing w:line="0" w:lineRule="atLeast"/>
        <w:ind w:left="1000" w:hanging="296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PRIHODI OD PRODAJE NEFINANCIJSKE IMOVINE.</w:t>
      </w:r>
    </w:p>
    <w:p w14:paraId="6CE763F1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F1FF7A" w14:textId="77777777" w:rsidR="00500693" w:rsidRPr="00866903" w:rsidRDefault="00500693" w:rsidP="00500693">
      <w:pPr>
        <w:spacing w:line="32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E2A696" w14:textId="5081D9E5" w:rsidR="00500693" w:rsidRPr="00866903" w:rsidRDefault="00500693" w:rsidP="00866903">
      <w:pPr>
        <w:tabs>
          <w:tab w:val="left" w:pos="709"/>
        </w:tabs>
        <w:spacing w:line="234" w:lineRule="auto"/>
        <w:ind w:left="709" w:right="360" w:hanging="709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1.1.1.</w:t>
      </w:r>
      <w:r w:rsidRPr="00866903">
        <w:rPr>
          <w:rFonts w:ascii="Times New Roman" w:eastAsia="Times New Roman" w:hAnsi="Times New Roman" w:cs="Times New Roman"/>
          <w:sz w:val="24"/>
          <w:szCs w:val="24"/>
        </w:rPr>
        <w:tab/>
      </w:r>
      <w:r w:rsidRPr="00866903">
        <w:rPr>
          <w:rFonts w:ascii="Times New Roman" w:eastAsia="Arial Narrow" w:hAnsi="Times New Roman" w:cs="Times New Roman"/>
          <w:b/>
          <w:i/>
          <w:sz w:val="24"/>
          <w:szCs w:val="24"/>
          <w:u w:val="single"/>
        </w:rPr>
        <w:t>PRIHODI POSLOVANJA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ostvareni su u iznosu od </w:t>
      </w:r>
      <w:r w:rsidR="009663EF">
        <w:rPr>
          <w:rFonts w:ascii="Times New Roman" w:eastAsia="Arial Narrow" w:hAnsi="Times New Roman" w:cs="Times New Roman"/>
          <w:sz w:val="24"/>
          <w:szCs w:val="24"/>
        </w:rPr>
        <w:t>2.831.464,41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 ili </w:t>
      </w:r>
      <w:r w:rsidR="009663EF">
        <w:rPr>
          <w:rFonts w:ascii="Times New Roman" w:eastAsia="Arial Narrow" w:hAnsi="Times New Roman" w:cs="Times New Roman"/>
          <w:sz w:val="24"/>
          <w:szCs w:val="24"/>
        </w:rPr>
        <w:t>45,79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% u odnosu na godišnji plan.</w:t>
      </w:r>
    </w:p>
    <w:p w14:paraId="131DBC56" w14:textId="77777777" w:rsidR="00500693" w:rsidRPr="00866903" w:rsidRDefault="00500693" w:rsidP="00500693">
      <w:pPr>
        <w:spacing w:line="22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CEDBD2" w14:textId="77777777" w:rsidR="00500693" w:rsidRPr="00866903" w:rsidRDefault="00500693" w:rsidP="00500693">
      <w:pPr>
        <w:spacing w:line="0" w:lineRule="atLeast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Prihodi poslovanja su:</w:t>
      </w:r>
    </w:p>
    <w:p w14:paraId="78D40A69" w14:textId="77777777" w:rsidR="00500693" w:rsidRPr="00866903" w:rsidRDefault="00500693" w:rsidP="00500693">
      <w:pPr>
        <w:spacing w:line="29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A0598C" w14:textId="416C2645" w:rsidR="00500693" w:rsidRPr="00866903" w:rsidRDefault="00500693" w:rsidP="00500693">
      <w:pPr>
        <w:spacing w:line="234" w:lineRule="auto"/>
        <w:ind w:right="1100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i/>
          <w:sz w:val="24"/>
          <w:szCs w:val="24"/>
        </w:rPr>
        <w:t>Prihodi od poreza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ostvareni su u iznosu od </w:t>
      </w:r>
      <w:r w:rsidR="009663EF">
        <w:rPr>
          <w:rFonts w:ascii="Times New Roman" w:eastAsia="Arial Narrow" w:hAnsi="Times New Roman" w:cs="Times New Roman"/>
          <w:sz w:val="24"/>
          <w:szCs w:val="24"/>
        </w:rPr>
        <w:t>1.587.722,71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eura, što je 6</w:t>
      </w:r>
      <w:r w:rsidR="009663EF">
        <w:rPr>
          <w:rFonts w:ascii="Times New Roman" w:eastAsia="Arial Narrow" w:hAnsi="Times New Roman" w:cs="Times New Roman"/>
          <w:sz w:val="24"/>
          <w:szCs w:val="24"/>
        </w:rPr>
        <w:t>2,72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% u odnosu na godišnji plan.</w:t>
      </w:r>
    </w:p>
    <w:p w14:paraId="1798565C" w14:textId="77777777" w:rsidR="00500693" w:rsidRPr="00866903" w:rsidRDefault="00500693" w:rsidP="00500693">
      <w:pPr>
        <w:spacing w:line="1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35BCB2" w14:textId="090ED431" w:rsidR="00500693" w:rsidRPr="00866903" w:rsidRDefault="00500693" w:rsidP="00500693">
      <w:pPr>
        <w:spacing w:line="232" w:lineRule="auto"/>
        <w:ind w:right="20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i/>
          <w:sz w:val="24"/>
          <w:szCs w:val="24"/>
        </w:rPr>
        <w:t>Pomoći</w:t>
      </w: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 xml:space="preserve"> obuhvaćaju: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prihode po osnovu raznih oblika pomoći, (unutar opće države ili iz inozemstva). Ostvareni su u iznosu od </w:t>
      </w:r>
      <w:r w:rsidR="00E650E7">
        <w:rPr>
          <w:rFonts w:ascii="Times New Roman" w:eastAsia="Arial Narrow" w:hAnsi="Times New Roman" w:cs="Times New Roman"/>
          <w:sz w:val="24"/>
          <w:szCs w:val="24"/>
        </w:rPr>
        <w:t>830.933,13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 , što je </w:t>
      </w:r>
      <w:r w:rsidR="00E650E7">
        <w:rPr>
          <w:rFonts w:ascii="Times New Roman" w:eastAsia="Arial Narrow" w:hAnsi="Times New Roman" w:cs="Times New Roman"/>
          <w:sz w:val="24"/>
          <w:szCs w:val="24"/>
        </w:rPr>
        <w:t>32,31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% u odnosu na godišnji plan. Prihodi od pomoći ostvareni su manje zbog toga što nisu </w:t>
      </w:r>
      <w:r w:rsidR="00E650E7">
        <w:rPr>
          <w:rFonts w:ascii="Times New Roman" w:eastAsia="Arial Narrow" w:hAnsi="Times New Roman" w:cs="Times New Roman"/>
          <w:sz w:val="24"/>
          <w:szCs w:val="24"/>
        </w:rPr>
        <w:t>izvršene uplate po svim podnesenim Zahtjevima za nadoknadom sredstava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za projekte koji su se planirali za 2023. godinu.</w:t>
      </w:r>
    </w:p>
    <w:p w14:paraId="0A94D820" w14:textId="77777777" w:rsidR="00500693" w:rsidRPr="00866903" w:rsidRDefault="00500693" w:rsidP="00500693">
      <w:pPr>
        <w:spacing w:line="1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3406D7" w14:textId="466EA8D5" w:rsidR="00500693" w:rsidRPr="00866903" w:rsidRDefault="00500693" w:rsidP="00500693">
      <w:pPr>
        <w:spacing w:line="231" w:lineRule="auto"/>
        <w:ind w:right="20"/>
        <w:jc w:val="both"/>
        <w:rPr>
          <w:rFonts w:ascii="Times New Roman" w:eastAsia="Arial Narrow" w:hAnsi="Times New Roman" w:cs="Times New Roman"/>
          <w:i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i/>
          <w:sz w:val="24"/>
          <w:szCs w:val="24"/>
        </w:rPr>
        <w:t>Prihodi od imovine</w:t>
      </w:r>
      <w:r w:rsidRPr="00866903">
        <w:rPr>
          <w:rFonts w:ascii="Times New Roman" w:eastAsia="Arial Narrow" w:hAnsi="Times New Roman" w:cs="Times New Roman"/>
          <w:i/>
          <w:sz w:val="24"/>
          <w:szCs w:val="24"/>
        </w:rPr>
        <w:t xml:space="preserve"> ostvareni su u iznosu od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E650E7">
        <w:rPr>
          <w:rFonts w:ascii="Times New Roman" w:eastAsia="Arial Narrow" w:hAnsi="Times New Roman" w:cs="Times New Roman"/>
          <w:sz w:val="24"/>
          <w:szCs w:val="24"/>
        </w:rPr>
        <w:t>60.854,22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 </w:t>
      </w:r>
      <w:r w:rsidRPr="00866903">
        <w:rPr>
          <w:rFonts w:ascii="Times New Roman" w:eastAsia="Arial Narrow" w:hAnsi="Times New Roman" w:cs="Times New Roman"/>
          <w:i/>
          <w:sz w:val="24"/>
          <w:szCs w:val="24"/>
        </w:rPr>
        <w:t>ili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E650E7">
        <w:rPr>
          <w:rFonts w:ascii="Times New Roman" w:eastAsia="Arial Narrow" w:hAnsi="Times New Roman" w:cs="Times New Roman"/>
          <w:sz w:val="24"/>
          <w:szCs w:val="24"/>
        </w:rPr>
        <w:t>16,67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% u odnosu na godišnji </w:t>
      </w:r>
      <w:r w:rsidRPr="00866903">
        <w:rPr>
          <w:rFonts w:ascii="Times New Roman" w:eastAsia="Arial Narrow" w:hAnsi="Times New Roman" w:cs="Times New Roman"/>
          <w:i/>
          <w:sz w:val="24"/>
          <w:szCs w:val="24"/>
        </w:rPr>
        <w:t xml:space="preserve">plan. Ovi prihodi ostvareni su manje jer </w:t>
      </w:r>
      <w:r w:rsidR="00E650E7">
        <w:rPr>
          <w:rFonts w:ascii="Times New Roman" w:eastAsia="Arial Narrow" w:hAnsi="Times New Roman" w:cs="Times New Roman"/>
          <w:i/>
          <w:sz w:val="24"/>
          <w:szCs w:val="24"/>
        </w:rPr>
        <w:t>je tijeku javni natječaj za zakup zemljišta, prema  budućim ugovorima</w:t>
      </w:r>
      <w:r w:rsidRPr="00866903">
        <w:rPr>
          <w:rFonts w:ascii="Times New Roman" w:eastAsia="Arial Narrow" w:hAnsi="Times New Roman" w:cs="Times New Roman"/>
          <w:i/>
          <w:sz w:val="24"/>
          <w:szCs w:val="24"/>
        </w:rPr>
        <w:t xml:space="preserve"> o zakupu državnog poljoprivrednog zemljišta</w:t>
      </w:r>
      <w:r w:rsidR="00E650E7">
        <w:rPr>
          <w:rFonts w:ascii="Times New Roman" w:eastAsia="Arial Narrow" w:hAnsi="Times New Roman" w:cs="Times New Roman"/>
          <w:i/>
          <w:sz w:val="24"/>
          <w:szCs w:val="24"/>
        </w:rPr>
        <w:t xml:space="preserve"> </w:t>
      </w:r>
      <w:r w:rsidRPr="00866903">
        <w:rPr>
          <w:rFonts w:ascii="Times New Roman" w:eastAsia="Arial Narrow" w:hAnsi="Times New Roman" w:cs="Times New Roman"/>
          <w:i/>
          <w:sz w:val="24"/>
          <w:szCs w:val="24"/>
        </w:rPr>
        <w:t xml:space="preserve">umjesto dosadašnjeg dospijeća 30.6. dospijeće </w:t>
      </w:r>
      <w:r w:rsidR="00E650E7">
        <w:rPr>
          <w:rFonts w:ascii="Times New Roman" w:eastAsia="Arial Narrow" w:hAnsi="Times New Roman" w:cs="Times New Roman"/>
          <w:i/>
          <w:sz w:val="24"/>
          <w:szCs w:val="24"/>
        </w:rPr>
        <w:t>će biti</w:t>
      </w:r>
      <w:r w:rsidRPr="00866903">
        <w:rPr>
          <w:rFonts w:ascii="Times New Roman" w:eastAsia="Arial Narrow" w:hAnsi="Times New Roman" w:cs="Times New Roman"/>
          <w:i/>
          <w:sz w:val="24"/>
          <w:szCs w:val="24"/>
        </w:rPr>
        <w:t xml:space="preserve"> 31.12.</w:t>
      </w:r>
    </w:p>
    <w:p w14:paraId="65F716F5" w14:textId="77777777" w:rsidR="00500693" w:rsidRPr="00866903" w:rsidRDefault="00500693" w:rsidP="00500693">
      <w:pPr>
        <w:spacing w:line="1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389F54" w14:textId="0A083D12" w:rsidR="00500693" w:rsidRPr="00866903" w:rsidRDefault="00500693" w:rsidP="00500693">
      <w:pPr>
        <w:spacing w:line="234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i/>
          <w:sz w:val="24"/>
          <w:szCs w:val="24"/>
        </w:rPr>
        <w:t>Prihodi od upravnih i administrativnih pristojbi, pristojbi po posebnim propisima i naknada</w:t>
      </w:r>
      <w:r w:rsidRPr="00866903">
        <w:rPr>
          <w:rFonts w:ascii="Times New Roman" w:eastAsia="Arial Narrow" w:hAnsi="Times New Roman" w:cs="Times New Roman"/>
          <w:i/>
          <w:sz w:val="24"/>
          <w:szCs w:val="24"/>
        </w:rPr>
        <w:t xml:space="preserve"> ostvareni su u iznosu od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E650E7">
        <w:rPr>
          <w:rFonts w:ascii="Times New Roman" w:eastAsia="Arial Narrow" w:hAnsi="Times New Roman" w:cs="Times New Roman"/>
          <w:sz w:val="24"/>
          <w:szCs w:val="24"/>
        </w:rPr>
        <w:t>328.915,03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 </w:t>
      </w:r>
      <w:r w:rsidRPr="00866903">
        <w:rPr>
          <w:rFonts w:ascii="Times New Roman" w:eastAsia="Arial Narrow" w:hAnsi="Times New Roman" w:cs="Times New Roman"/>
          <w:i/>
          <w:sz w:val="24"/>
          <w:szCs w:val="24"/>
        </w:rPr>
        <w:t>ili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E650E7">
        <w:rPr>
          <w:rFonts w:ascii="Times New Roman" w:eastAsia="Arial Narrow" w:hAnsi="Times New Roman" w:cs="Times New Roman"/>
          <w:sz w:val="24"/>
          <w:szCs w:val="24"/>
        </w:rPr>
        <w:t>48,66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% u odnosu na godišnji plan.</w:t>
      </w:r>
    </w:p>
    <w:p w14:paraId="3E4529B0" w14:textId="77777777" w:rsidR="00500693" w:rsidRPr="00866903" w:rsidRDefault="00500693" w:rsidP="00500693">
      <w:pPr>
        <w:spacing w:line="15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5D2C69" w14:textId="77777777" w:rsidR="00500693" w:rsidRPr="00866903" w:rsidRDefault="00500693" w:rsidP="00500693">
      <w:pPr>
        <w:spacing w:line="0" w:lineRule="atLeast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Najveći dio odnosi se na komunalnu naknadu .</w:t>
      </w:r>
    </w:p>
    <w:p w14:paraId="577DB26D" w14:textId="77777777" w:rsidR="00500693" w:rsidRPr="00866903" w:rsidRDefault="00500693" w:rsidP="00500693">
      <w:pPr>
        <w:spacing w:line="1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32EA39" w14:textId="792CE6F4" w:rsidR="00500693" w:rsidRPr="00866903" w:rsidRDefault="00500693" w:rsidP="00500693">
      <w:pPr>
        <w:spacing w:line="233" w:lineRule="auto"/>
        <w:ind w:right="20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Komunalna naknada namjenski je prihod, uplaćuje se tromjesečno, a namjena je održavanje čistoće javnih površina, nerazvrstanih cesta</w:t>
      </w:r>
      <w:r w:rsidR="00E650E7">
        <w:rPr>
          <w:rFonts w:ascii="Times New Roman" w:eastAsia="Arial Narrow" w:hAnsi="Times New Roman" w:cs="Times New Roman"/>
          <w:sz w:val="24"/>
          <w:szCs w:val="24"/>
        </w:rPr>
        <w:t xml:space="preserve"> i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javne rasvjete. Prihod od komunalne naknade je </w:t>
      </w:r>
      <w:r w:rsidR="00E650E7">
        <w:rPr>
          <w:rFonts w:ascii="Times New Roman" w:eastAsia="Arial Narrow" w:hAnsi="Times New Roman" w:cs="Times New Roman"/>
          <w:sz w:val="24"/>
          <w:szCs w:val="24"/>
        </w:rPr>
        <w:t>114.317,70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eura.</w:t>
      </w:r>
    </w:p>
    <w:p w14:paraId="18505265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759D52" w14:textId="77777777" w:rsidR="00500693" w:rsidRPr="00866903" w:rsidRDefault="00500693" w:rsidP="00500693">
      <w:pPr>
        <w:spacing w:line="29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212836" w14:textId="343A8BB9" w:rsidR="00500693" w:rsidRPr="00866903" w:rsidRDefault="00500693" w:rsidP="00866903">
      <w:pPr>
        <w:tabs>
          <w:tab w:val="left" w:pos="426"/>
        </w:tabs>
        <w:spacing w:line="227" w:lineRule="auto"/>
        <w:ind w:left="420" w:right="300" w:hanging="420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lastRenderedPageBreak/>
        <w:t xml:space="preserve">1.1.2. </w:t>
      </w:r>
      <w:r w:rsidRPr="00866903">
        <w:rPr>
          <w:rFonts w:ascii="Times New Roman" w:eastAsia="Arial Narrow" w:hAnsi="Times New Roman" w:cs="Times New Roman"/>
          <w:b/>
          <w:i/>
          <w:sz w:val="24"/>
          <w:szCs w:val="24"/>
          <w:u w:val="single"/>
        </w:rPr>
        <w:t>PRIHODI OD PRODAJE NEFINANCIJSKE IMOVINE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ostvareni su u iznosu od </w:t>
      </w:r>
      <w:r w:rsidR="00E650E7">
        <w:rPr>
          <w:rFonts w:ascii="Times New Roman" w:eastAsia="Arial Narrow" w:hAnsi="Times New Roman" w:cs="Times New Roman"/>
          <w:sz w:val="24"/>
          <w:szCs w:val="24"/>
        </w:rPr>
        <w:t>3.310,00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 ili </w:t>
      </w:r>
      <w:r w:rsidR="00E650E7">
        <w:rPr>
          <w:rFonts w:ascii="Times New Roman" w:eastAsia="Arial Narrow" w:hAnsi="Times New Roman" w:cs="Times New Roman"/>
          <w:sz w:val="24"/>
          <w:szCs w:val="24"/>
        </w:rPr>
        <w:t>0,48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>% u odnosu na godišnji plan. Prihodi od prodaje nefinancijske imovine su:</w:t>
      </w:r>
    </w:p>
    <w:p w14:paraId="3E1055CA" w14:textId="77777777" w:rsidR="00500693" w:rsidRPr="00866903" w:rsidRDefault="00500693" w:rsidP="00500693">
      <w:pPr>
        <w:spacing w:line="1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B80CBD" w14:textId="77777777" w:rsidR="00500693" w:rsidRPr="00866903" w:rsidRDefault="00500693" w:rsidP="00500693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296"/>
        <w:rPr>
          <w:rFonts w:ascii="Times New Roman" w:eastAsia="Arial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Prihodi od prodaje </w:t>
      </w:r>
      <w:proofErr w:type="spellStart"/>
      <w:r w:rsidRPr="00866903">
        <w:rPr>
          <w:rFonts w:ascii="Times New Roman" w:eastAsia="Arial Narrow" w:hAnsi="Times New Roman" w:cs="Times New Roman"/>
          <w:sz w:val="24"/>
          <w:szCs w:val="24"/>
        </w:rPr>
        <w:t>neproizvedene</w:t>
      </w:r>
      <w:proofErr w:type="spellEnd"/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dugotrajne imovine</w:t>
      </w:r>
    </w:p>
    <w:p w14:paraId="16CD66C9" w14:textId="77777777" w:rsidR="00500693" w:rsidRPr="00866903" w:rsidRDefault="00500693" w:rsidP="00500693">
      <w:pPr>
        <w:spacing w:line="1" w:lineRule="exact"/>
        <w:rPr>
          <w:rFonts w:ascii="Times New Roman" w:eastAsia="Arial" w:hAnsi="Times New Roman" w:cs="Times New Roman"/>
          <w:sz w:val="24"/>
          <w:szCs w:val="24"/>
        </w:rPr>
      </w:pPr>
    </w:p>
    <w:p w14:paraId="60ECE25E" w14:textId="77777777" w:rsidR="00500693" w:rsidRPr="00866903" w:rsidRDefault="00500693" w:rsidP="00500693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296"/>
        <w:rPr>
          <w:rFonts w:ascii="Times New Roman" w:eastAsia="Arial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Prihodi od prodaje proizvedene dugotrajne imovine</w:t>
      </w:r>
    </w:p>
    <w:p w14:paraId="7AB51692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257758" w14:textId="77777777" w:rsidR="00500693" w:rsidRPr="00866903" w:rsidRDefault="00500693" w:rsidP="00500693">
      <w:pPr>
        <w:spacing w:line="2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BB7CF3" w14:textId="441C0FB3" w:rsidR="00500693" w:rsidRPr="00866903" w:rsidRDefault="00500693" w:rsidP="00F80678">
      <w:pPr>
        <w:spacing w:line="23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43"/>
      <w:bookmarkEnd w:id="1"/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Prihodi od prodaje </w:t>
      </w:r>
      <w:proofErr w:type="spellStart"/>
      <w:r w:rsidRPr="00866903">
        <w:rPr>
          <w:rFonts w:ascii="Times New Roman" w:eastAsia="Arial Narrow" w:hAnsi="Times New Roman" w:cs="Times New Roman"/>
          <w:sz w:val="24"/>
          <w:szCs w:val="24"/>
        </w:rPr>
        <w:t>neproizvedene</w:t>
      </w:r>
      <w:proofErr w:type="spellEnd"/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dugotrajne imovine </w:t>
      </w:r>
      <w:r w:rsidRPr="00866903">
        <w:rPr>
          <w:rFonts w:ascii="Times New Roman" w:eastAsia="Arial Narrow" w:hAnsi="Times New Roman" w:cs="Times New Roman"/>
          <w:i/>
          <w:sz w:val="24"/>
          <w:szCs w:val="24"/>
        </w:rPr>
        <w:t>–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ostvareni su u iznosu od </w:t>
      </w:r>
      <w:r w:rsidR="00F80678">
        <w:rPr>
          <w:rFonts w:ascii="Times New Roman" w:eastAsia="Arial Narrow" w:hAnsi="Times New Roman" w:cs="Times New Roman"/>
          <w:sz w:val="24"/>
          <w:szCs w:val="24"/>
        </w:rPr>
        <w:t>3.310,00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 i ostvareni su prodajom  zemljišta u vlasništvu  Općine </w:t>
      </w:r>
      <w:r w:rsidR="00F80678">
        <w:rPr>
          <w:rFonts w:ascii="Times New Roman" w:eastAsia="Arial Narrow" w:hAnsi="Times New Roman" w:cs="Times New Roman"/>
          <w:sz w:val="24"/>
          <w:szCs w:val="24"/>
        </w:rPr>
        <w:t>Čepin</w:t>
      </w:r>
    </w:p>
    <w:p w14:paraId="6CB52315" w14:textId="745B2DBD" w:rsidR="00500693" w:rsidRPr="00866903" w:rsidRDefault="00500693" w:rsidP="00500693">
      <w:pPr>
        <w:spacing w:line="0" w:lineRule="atLeast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Prihodi od prodaje proizvedene dugotrajne imovine </w:t>
      </w:r>
      <w:r w:rsidR="00F80678">
        <w:rPr>
          <w:rFonts w:ascii="Times New Roman" w:eastAsia="Arial Narrow" w:hAnsi="Times New Roman" w:cs="Times New Roman"/>
          <w:sz w:val="24"/>
          <w:szCs w:val="24"/>
        </w:rPr>
        <w:t>ni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>su ostvareni</w:t>
      </w:r>
      <w:r w:rsidR="00F80678">
        <w:rPr>
          <w:rFonts w:ascii="Times New Roman" w:eastAsia="Arial Narrow" w:hAnsi="Times New Roman" w:cs="Times New Roman"/>
          <w:sz w:val="24"/>
          <w:szCs w:val="24"/>
        </w:rPr>
        <w:t>.</w:t>
      </w:r>
    </w:p>
    <w:p w14:paraId="7C0FCE4B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6A0238" w14:textId="77777777" w:rsidR="00500693" w:rsidRPr="00866903" w:rsidRDefault="00500693" w:rsidP="00500693">
      <w:pPr>
        <w:spacing w:line="3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E3D245" w14:textId="77777777" w:rsidR="00500693" w:rsidRPr="00866903" w:rsidRDefault="00500693" w:rsidP="00866903">
      <w:pPr>
        <w:spacing w:line="0" w:lineRule="atLeast"/>
        <w:ind w:left="-142"/>
        <w:rPr>
          <w:rFonts w:ascii="Times New Roman" w:eastAsia="Arial Narrow" w:hAnsi="Times New Roman" w:cs="Times New Roman"/>
          <w:b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>1.2. RASHODI I IZDACI</w:t>
      </w:r>
    </w:p>
    <w:p w14:paraId="15067630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F0D01A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6C45EB" w14:textId="77777777" w:rsidR="00500693" w:rsidRPr="00866903" w:rsidRDefault="00500693" w:rsidP="00500693">
      <w:pPr>
        <w:spacing w:line="27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C3255C" w14:textId="0835F44E" w:rsidR="00500693" w:rsidRPr="00866903" w:rsidRDefault="00500693" w:rsidP="00500693">
      <w:pPr>
        <w:spacing w:line="233" w:lineRule="auto"/>
        <w:ind w:firstLine="708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Ukupni proračunski rashodi i izdaci izvršeni su u iznosu od </w:t>
      </w:r>
      <w:r w:rsidR="00114F04">
        <w:rPr>
          <w:rFonts w:ascii="Times New Roman" w:eastAsia="Arial Narrow" w:hAnsi="Times New Roman" w:cs="Times New Roman"/>
          <w:sz w:val="24"/>
          <w:szCs w:val="24"/>
        </w:rPr>
        <w:t>4.736.371,95,</w:t>
      </w:r>
      <w:r w:rsidR="00696CD8">
        <w:rPr>
          <w:rFonts w:ascii="Times New Roman" w:eastAsia="Arial Narrow" w:hAnsi="Times New Roman" w:cs="Times New Roman"/>
          <w:sz w:val="24"/>
          <w:szCs w:val="24"/>
        </w:rPr>
        <w:t xml:space="preserve"> eura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, odnosno </w:t>
      </w:r>
      <w:r w:rsidR="00114F04">
        <w:rPr>
          <w:rFonts w:ascii="Times New Roman" w:eastAsia="Arial Narrow" w:hAnsi="Times New Roman" w:cs="Times New Roman"/>
          <w:sz w:val="24"/>
          <w:szCs w:val="24"/>
        </w:rPr>
        <w:t>47,18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% u odnosu na godišnji plan.</w:t>
      </w:r>
    </w:p>
    <w:p w14:paraId="557CFDDB" w14:textId="77777777" w:rsidR="00500693" w:rsidRPr="00866903" w:rsidRDefault="00500693" w:rsidP="00500693">
      <w:pPr>
        <w:spacing w:line="1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23A6AE" w14:textId="77777777" w:rsidR="00500693" w:rsidRPr="00866903" w:rsidRDefault="00500693" w:rsidP="00500693">
      <w:pPr>
        <w:spacing w:line="0" w:lineRule="atLeast"/>
        <w:ind w:left="700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Prema ekonomskoj klasifikaciji rashodi i izdaci su:</w:t>
      </w:r>
    </w:p>
    <w:p w14:paraId="6DBE3F2B" w14:textId="77777777" w:rsidR="00500693" w:rsidRPr="00866903" w:rsidRDefault="00500693" w:rsidP="00500693">
      <w:pPr>
        <w:spacing w:line="1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8A4C48" w14:textId="2B4DF4D3" w:rsidR="00500693" w:rsidRPr="00866903" w:rsidRDefault="00500693" w:rsidP="00866903">
      <w:pPr>
        <w:tabs>
          <w:tab w:val="left" w:pos="1134"/>
        </w:tabs>
        <w:spacing w:line="233" w:lineRule="auto"/>
        <w:ind w:left="567" w:right="280" w:hanging="567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1.2.1.</w:t>
      </w:r>
      <w:r w:rsidRPr="00866903">
        <w:rPr>
          <w:rFonts w:ascii="Times New Roman" w:eastAsia="Times New Roman" w:hAnsi="Times New Roman" w:cs="Times New Roman"/>
          <w:sz w:val="24"/>
          <w:szCs w:val="24"/>
        </w:rPr>
        <w:tab/>
      </w:r>
      <w:r w:rsidRPr="00866903">
        <w:rPr>
          <w:rFonts w:ascii="Times New Roman" w:eastAsia="Arial Narrow" w:hAnsi="Times New Roman" w:cs="Times New Roman"/>
          <w:b/>
          <w:i/>
          <w:sz w:val="24"/>
          <w:szCs w:val="24"/>
          <w:u w:val="single"/>
        </w:rPr>
        <w:t>RASHODI POSLOVANJA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izvršeni u iznosu od </w:t>
      </w:r>
      <w:r w:rsidR="00372A2D">
        <w:rPr>
          <w:rFonts w:ascii="Times New Roman" w:eastAsia="Arial Narrow" w:hAnsi="Times New Roman" w:cs="Times New Roman"/>
          <w:sz w:val="24"/>
          <w:szCs w:val="24"/>
        </w:rPr>
        <w:t>2.032.752,74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 što je </w:t>
      </w:r>
      <w:r w:rsidR="00372A2D">
        <w:rPr>
          <w:rFonts w:ascii="Times New Roman" w:eastAsia="Arial Narrow" w:hAnsi="Times New Roman" w:cs="Times New Roman"/>
          <w:sz w:val="24"/>
          <w:szCs w:val="24"/>
        </w:rPr>
        <w:t>39,29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% u odnosu na godišnji plan.</w:t>
      </w:r>
    </w:p>
    <w:p w14:paraId="729D4324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25A5E1" w14:textId="77777777" w:rsidR="00500693" w:rsidRPr="00866903" w:rsidRDefault="00500693" w:rsidP="00500693">
      <w:pPr>
        <w:spacing w:line="26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596E7F" w14:textId="1CDE03D1" w:rsidR="00500693" w:rsidRPr="00866903" w:rsidRDefault="00500693" w:rsidP="00500693">
      <w:pPr>
        <w:spacing w:line="231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Kod </w:t>
      </w:r>
      <w:r w:rsidRPr="00866903">
        <w:rPr>
          <w:rFonts w:ascii="Times New Roman" w:eastAsia="Arial Narrow" w:hAnsi="Times New Roman" w:cs="Times New Roman"/>
          <w:i/>
          <w:sz w:val="24"/>
          <w:szCs w:val="24"/>
        </w:rPr>
        <w:t>Rashoda za zaposlene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realizacija je </w:t>
      </w:r>
      <w:r w:rsidR="00372A2D">
        <w:rPr>
          <w:rFonts w:ascii="Times New Roman" w:eastAsia="Arial Narrow" w:hAnsi="Times New Roman" w:cs="Times New Roman"/>
          <w:sz w:val="24"/>
          <w:szCs w:val="24"/>
        </w:rPr>
        <w:t>149,66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% ili u iznosu </w:t>
      </w:r>
      <w:r w:rsidR="00372A2D">
        <w:rPr>
          <w:rFonts w:ascii="Times New Roman" w:eastAsia="Arial Narrow" w:hAnsi="Times New Roman" w:cs="Times New Roman"/>
          <w:sz w:val="24"/>
          <w:szCs w:val="24"/>
        </w:rPr>
        <w:t>540.517,22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eura. Ovaj iznos se odnosi na zaposlene službenike i namještenike, dužnosni</w:t>
      </w:r>
      <w:r w:rsidR="00372A2D">
        <w:rPr>
          <w:rFonts w:ascii="Times New Roman" w:eastAsia="Arial Narrow" w:hAnsi="Times New Roman" w:cs="Times New Roman"/>
          <w:sz w:val="24"/>
          <w:szCs w:val="24"/>
        </w:rPr>
        <w:t>ka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, zaposlenike </w:t>
      </w:r>
      <w:r w:rsidR="00372A2D">
        <w:rPr>
          <w:rFonts w:ascii="Times New Roman" w:eastAsia="Arial Narrow" w:hAnsi="Times New Roman" w:cs="Times New Roman"/>
          <w:sz w:val="24"/>
          <w:szCs w:val="24"/>
        </w:rPr>
        <w:t xml:space="preserve">kod proračunskih korisnika Centar za kulturu, </w:t>
      </w:r>
      <w:r w:rsidR="00114F04">
        <w:rPr>
          <w:rFonts w:ascii="Times New Roman" w:eastAsia="Arial Narrow" w:hAnsi="Times New Roman" w:cs="Times New Roman"/>
          <w:sz w:val="24"/>
          <w:szCs w:val="24"/>
        </w:rPr>
        <w:t>J</w:t>
      </w:r>
      <w:r w:rsidR="00E24B59">
        <w:rPr>
          <w:rFonts w:ascii="Times New Roman" w:eastAsia="Arial Narrow" w:hAnsi="Times New Roman" w:cs="Times New Roman"/>
          <w:sz w:val="24"/>
          <w:szCs w:val="24"/>
        </w:rPr>
        <w:t>avna vatrogasna postrojba</w:t>
      </w:r>
      <w:r w:rsidR="00114F04">
        <w:rPr>
          <w:rFonts w:ascii="Times New Roman" w:eastAsia="Arial Narrow" w:hAnsi="Times New Roman" w:cs="Times New Roman"/>
          <w:sz w:val="24"/>
          <w:szCs w:val="24"/>
        </w:rPr>
        <w:t xml:space="preserve"> Čepin</w:t>
      </w:r>
      <w:r w:rsidR="00E24B59">
        <w:rPr>
          <w:rFonts w:ascii="Times New Roman" w:eastAsia="Arial Narrow" w:hAnsi="Times New Roman" w:cs="Times New Roman"/>
          <w:sz w:val="24"/>
          <w:szCs w:val="24"/>
        </w:rPr>
        <w:t xml:space="preserve"> i Dječji vrtić Zvončić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>.</w:t>
      </w:r>
    </w:p>
    <w:p w14:paraId="2AF0DC19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387C60" w14:textId="77777777" w:rsidR="00500693" w:rsidRPr="00866903" w:rsidRDefault="00500693" w:rsidP="00500693">
      <w:pPr>
        <w:spacing w:line="30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087227" w14:textId="2CE528C3" w:rsidR="00500693" w:rsidRPr="00866903" w:rsidRDefault="00500693" w:rsidP="00500693">
      <w:pPr>
        <w:spacing w:line="0" w:lineRule="atLeast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Materijalni rashodi ostvareni su u iznosu od </w:t>
      </w:r>
      <w:r w:rsidR="00E24B59">
        <w:rPr>
          <w:rFonts w:ascii="Times New Roman" w:eastAsia="Arial Narrow" w:hAnsi="Times New Roman" w:cs="Times New Roman"/>
          <w:sz w:val="24"/>
          <w:szCs w:val="24"/>
        </w:rPr>
        <w:t>1.007.080,92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eura, što je 3</w:t>
      </w:r>
      <w:r w:rsidR="00E24B59">
        <w:rPr>
          <w:rFonts w:ascii="Times New Roman" w:eastAsia="Arial Narrow" w:hAnsi="Times New Roman" w:cs="Times New Roman"/>
          <w:sz w:val="24"/>
          <w:szCs w:val="24"/>
        </w:rPr>
        <w:t>9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>,</w:t>
      </w:r>
      <w:r w:rsidR="00E24B59">
        <w:rPr>
          <w:rFonts w:ascii="Times New Roman" w:eastAsia="Arial Narrow" w:hAnsi="Times New Roman" w:cs="Times New Roman"/>
          <w:sz w:val="24"/>
          <w:szCs w:val="24"/>
        </w:rPr>
        <w:t>31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% u odnosu na godišnji plan.</w:t>
      </w:r>
    </w:p>
    <w:p w14:paraId="460FFEA3" w14:textId="77777777" w:rsidR="00500693" w:rsidRPr="00866903" w:rsidRDefault="00500693" w:rsidP="00500693">
      <w:pPr>
        <w:spacing w:line="1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A87D17" w14:textId="791F294A" w:rsidR="00500693" w:rsidRPr="00866903" w:rsidRDefault="00500693" w:rsidP="00500693">
      <w:pPr>
        <w:spacing w:line="0" w:lineRule="atLeast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Financijski rashodi ostvareni su u iznosu od </w:t>
      </w:r>
      <w:r w:rsidR="00E24B59">
        <w:rPr>
          <w:rFonts w:ascii="Times New Roman" w:eastAsia="Arial Narrow" w:hAnsi="Times New Roman" w:cs="Times New Roman"/>
          <w:sz w:val="24"/>
          <w:szCs w:val="24"/>
        </w:rPr>
        <w:t>35.887,01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eura, što je </w:t>
      </w:r>
      <w:r w:rsidR="00E24B59">
        <w:rPr>
          <w:rFonts w:ascii="Times New Roman" w:eastAsia="Arial Narrow" w:hAnsi="Times New Roman" w:cs="Times New Roman"/>
          <w:sz w:val="24"/>
          <w:szCs w:val="24"/>
        </w:rPr>
        <w:t>73,66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% u odnosu na godišnji plan.</w:t>
      </w:r>
    </w:p>
    <w:p w14:paraId="50D3DF4E" w14:textId="77777777" w:rsidR="00500693" w:rsidRPr="00866903" w:rsidRDefault="00500693" w:rsidP="00500693">
      <w:pPr>
        <w:spacing w:line="1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2A883A" w14:textId="04E767AF" w:rsidR="00500693" w:rsidRPr="00866903" w:rsidRDefault="00500693" w:rsidP="00500693">
      <w:pPr>
        <w:spacing w:line="0" w:lineRule="atLeast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Subvencije su ostvarene u iznosu od </w:t>
      </w:r>
      <w:r w:rsidR="00E24B59">
        <w:rPr>
          <w:rFonts w:ascii="Times New Roman" w:eastAsia="Arial Narrow" w:hAnsi="Times New Roman" w:cs="Times New Roman"/>
          <w:sz w:val="24"/>
          <w:szCs w:val="24"/>
        </w:rPr>
        <w:t>7.500,00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eura, što je </w:t>
      </w:r>
      <w:r w:rsidR="00E24B59">
        <w:rPr>
          <w:rFonts w:ascii="Times New Roman" w:eastAsia="Arial Narrow" w:hAnsi="Times New Roman" w:cs="Times New Roman"/>
          <w:sz w:val="24"/>
          <w:szCs w:val="24"/>
        </w:rPr>
        <w:t>2,90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% u odnosu na godišnji plan.</w:t>
      </w:r>
    </w:p>
    <w:p w14:paraId="59B9118E" w14:textId="77777777" w:rsidR="00500693" w:rsidRPr="00866903" w:rsidRDefault="00500693" w:rsidP="00500693">
      <w:pPr>
        <w:spacing w:line="14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E3516C" w14:textId="1B7CD1A8" w:rsidR="00500693" w:rsidRPr="00866903" w:rsidRDefault="00500693" w:rsidP="00500693">
      <w:pPr>
        <w:spacing w:line="233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Pomoći dane u inozemstvo i unutar općeg proračuna iznose 2</w:t>
      </w:r>
      <w:r w:rsidR="00E24B59">
        <w:rPr>
          <w:rFonts w:ascii="Times New Roman" w:eastAsia="Arial Narrow" w:hAnsi="Times New Roman" w:cs="Times New Roman"/>
          <w:sz w:val="24"/>
          <w:szCs w:val="24"/>
        </w:rPr>
        <w:t>1.478,36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eura, što je </w:t>
      </w:r>
      <w:r w:rsidR="00E24B59">
        <w:rPr>
          <w:rFonts w:ascii="Times New Roman" w:eastAsia="Arial Narrow" w:hAnsi="Times New Roman" w:cs="Times New Roman"/>
          <w:sz w:val="24"/>
          <w:szCs w:val="24"/>
        </w:rPr>
        <w:t>43,98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% u odnosu na godišnji plan.</w:t>
      </w:r>
    </w:p>
    <w:p w14:paraId="4AB77819" w14:textId="77777777" w:rsidR="00500693" w:rsidRPr="00866903" w:rsidRDefault="00500693" w:rsidP="00500693">
      <w:pPr>
        <w:spacing w:line="1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872514" w14:textId="7AF13BB3" w:rsidR="00500693" w:rsidRPr="00866903" w:rsidRDefault="00500693" w:rsidP="00500693">
      <w:pPr>
        <w:spacing w:line="244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Naknade građenima i kućanstvima na temelju osiguranja i druge naknade ostvarene su u iznosu od </w:t>
      </w:r>
      <w:r w:rsidR="00E24B59">
        <w:rPr>
          <w:rFonts w:ascii="Times New Roman" w:eastAsia="Arial Narrow" w:hAnsi="Times New Roman" w:cs="Times New Roman"/>
          <w:sz w:val="24"/>
          <w:szCs w:val="24"/>
        </w:rPr>
        <w:t>126.973,57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 što je 46,</w:t>
      </w:r>
      <w:r w:rsidR="00E24B59">
        <w:rPr>
          <w:rFonts w:ascii="Times New Roman" w:eastAsia="Arial Narrow" w:hAnsi="Times New Roman" w:cs="Times New Roman"/>
          <w:sz w:val="24"/>
          <w:szCs w:val="24"/>
        </w:rPr>
        <w:t>42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% u odnosu na godišnji plan. </w:t>
      </w:r>
    </w:p>
    <w:p w14:paraId="0AA673D8" w14:textId="77777777" w:rsidR="00500693" w:rsidRPr="00866903" w:rsidRDefault="00500693" w:rsidP="00500693">
      <w:pPr>
        <w:spacing w:line="15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B6D773" w14:textId="7E493E0E" w:rsidR="00500693" w:rsidRPr="00866903" w:rsidRDefault="00500693" w:rsidP="00500693">
      <w:pPr>
        <w:spacing w:line="0" w:lineRule="atLeast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i/>
          <w:sz w:val="24"/>
          <w:szCs w:val="24"/>
        </w:rPr>
        <w:t>Ostali rashodi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ostvareni su u iznosu od </w:t>
      </w:r>
      <w:r w:rsidR="00E24B59">
        <w:rPr>
          <w:rFonts w:ascii="Times New Roman" w:eastAsia="Arial Narrow" w:hAnsi="Times New Roman" w:cs="Times New Roman"/>
          <w:sz w:val="24"/>
          <w:szCs w:val="24"/>
        </w:rPr>
        <w:t>179.904,79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 što je </w:t>
      </w:r>
      <w:r w:rsidR="00E24B59">
        <w:rPr>
          <w:rFonts w:ascii="Times New Roman" w:eastAsia="Arial Narrow" w:hAnsi="Times New Roman" w:cs="Times New Roman"/>
          <w:sz w:val="24"/>
          <w:szCs w:val="24"/>
        </w:rPr>
        <w:t>35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>,</w:t>
      </w:r>
      <w:r w:rsidR="00E24B59">
        <w:rPr>
          <w:rFonts w:ascii="Times New Roman" w:eastAsia="Arial Narrow" w:hAnsi="Times New Roman" w:cs="Times New Roman"/>
          <w:sz w:val="24"/>
          <w:szCs w:val="24"/>
        </w:rPr>
        <w:t>6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>3 % u odnosu na godišnji plan.</w:t>
      </w:r>
      <w:r w:rsidR="002C5883">
        <w:rPr>
          <w:rFonts w:ascii="Times New Roman" w:eastAsia="Arial Narrow" w:hAnsi="Times New Roman" w:cs="Times New Roman"/>
          <w:sz w:val="24"/>
          <w:szCs w:val="24"/>
        </w:rPr>
        <w:t xml:space="preserve"> Ostvareni rashodi manji su u prvom polugodištu jer su ostvareni nakon 30.6.2023.</w:t>
      </w:r>
    </w:p>
    <w:p w14:paraId="3774102C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BC4445" w14:textId="77777777" w:rsidR="00500693" w:rsidRPr="00866903" w:rsidRDefault="00500693" w:rsidP="00500693">
      <w:pPr>
        <w:spacing w:line="21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7F4A01" w14:textId="0A38A406" w:rsidR="00500693" w:rsidRPr="00866903" w:rsidRDefault="00500693" w:rsidP="00DD1ACF">
      <w:pPr>
        <w:tabs>
          <w:tab w:val="left" w:pos="426"/>
        </w:tabs>
        <w:spacing w:line="231" w:lineRule="auto"/>
        <w:ind w:left="426" w:right="24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>1.2.2.</w:t>
      </w:r>
      <w:r w:rsidRPr="00866903">
        <w:rPr>
          <w:rFonts w:ascii="Times New Roman" w:eastAsia="Times New Roman" w:hAnsi="Times New Roman" w:cs="Times New Roman"/>
          <w:sz w:val="24"/>
          <w:szCs w:val="24"/>
        </w:rPr>
        <w:tab/>
      </w:r>
      <w:r w:rsidRPr="00866903">
        <w:rPr>
          <w:rFonts w:ascii="Times New Roman" w:eastAsia="Arial Narrow" w:hAnsi="Times New Roman" w:cs="Times New Roman"/>
          <w:b/>
          <w:i/>
          <w:sz w:val="24"/>
          <w:szCs w:val="24"/>
          <w:u w:val="single"/>
        </w:rPr>
        <w:t>RASHODI ZA NABAVU NEFINANCIJSKE IMOVINE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realizirani su u iznosu od 1</w:t>
      </w:r>
      <w:r w:rsidR="00AD0024">
        <w:rPr>
          <w:rFonts w:ascii="Times New Roman" w:eastAsia="Arial Narrow" w:hAnsi="Times New Roman" w:cs="Times New Roman"/>
          <w:sz w:val="24"/>
          <w:szCs w:val="24"/>
        </w:rPr>
        <w:t>.</w:t>
      </w:r>
      <w:r w:rsidR="002C5883">
        <w:rPr>
          <w:rFonts w:ascii="Times New Roman" w:eastAsia="Arial Narrow" w:hAnsi="Times New Roman" w:cs="Times New Roman"/>
          <w:sz w:val="24"/>
          <w:szCs w:val="24"/>
        </w:rPr>
        <w:t>153.928,07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eura, odnosno </w:t>
      </w:r>
      <w:r w:rsidR="002C5883">
        <w:rPr>
          <w:rFonts w:ascii="Times New Roman" w:eastAsia="Arial Narrow" w:hAnsi="Times New Roman" w:cs="Times New Roman"/>
          <w:sz w:val="24"/>
          <w:szCs w:val="24"/>
        </w:rPr>
        <w:t>35,77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% u odnosu na godišnji plan. Ovi rashodi su ostvareni u manjem iznosu zbog toga što zbog provedbe postupka javne nabave nisu započeli svi planirani postupci.</w:t>
      </w:r>
    </w:p>
    <w:p w14:paraId="4847009F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EFC20E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F47B50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2B78F1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CB76F6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9FAB2A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632F2A" w14:textId="77777777" w:rsidR="00500693" w:rsidRPr="00866903" w:rsidRDefault="00500693" w:rsidP="00500693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  <w:sectPr w:rsidR="00500693" w:rsidRPr="00866903">
          <w:footerReference w:type="default" r:id="rId7"/>
          <w:pgSz w:w="11900" w:h="16838"/>
          <w:pgMar w:top="1406" w:right="1406" w:bottom="416" w:left="1420" w:header="0" w:footer="0" w:gutter="0"/>
          <w:cols w:space="0" w:equalWidth="0">
            <w:col w:w="9080"/>
          </w:cols>
          <w:docGrid w:linePitch="360"/>
        </w:sectPr>
      </w:pPr>
      <w:bookmarkStart w:id="2" w:name="page44"/>
      <w:bookmarkEnd w:id="2"/>
    </w:p>
    <w:p w14:paraId="31150539" w14:textId="77777777" w:rsidR="00500693" w:rsidRPr="00DD1ACF" w:rsidRDefault="00500693" w:rsidP="00500693">
      <w:pPr>
        <w:numPr>
          <w:ilvl w:val="0"/>
          <w:numId w:val="10"/>
        </w:numPr>
        <w:tabs>
          <w:tab w:val="left" w:pos="704"/>
        </w:tabs>
        <w:spacing w:line="0" w:lineRule="atLeast"/>
        <w:ind w:left="704" w:hanging="704"/>
        <w:rPr>
          <w:rFonts w:ascii="Times New Roman" w:eastAsia="Arial Narrow" w:hAnsi="Times New Roman" w:cs="Times New Roman"/>
          <w:b/>
          <w:sz w:val="24"/>
          <w:szCs w:val="24"/>
        </w:rPr>
      </w:pPr>
      <w:r w:rsidRPr="00DD1ACF">
        <w:rPr>
          <w:rFonts w:ascii="Times New Roman" w:eastAsia="Arial Narrow" w:hAnsi="Times New Roman" w:cs="Times New Roman"/>
          <w:b/>
          <w:sz w:val="24"/>
          <w:szCs w:val="24"/>
        </w:rPr>
        <w:lastRenderedPageBreak/>
        <w:t>PRIKAZ OSTVARENOG MANJAK PRIHODA</w:t>
      </w:r>
    </w:p>
    <w:p w14:paraId="0E762092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CC31BE" w14:textId="77777777" w:rsidR="00500693" w:rsidRPr="00866903" w:rsidRDefault="00500693" w:rsidP="00500693">
      <w:pPr>
        <w:spacing w:line="20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9D226A" w14:textId="33E2D3EF" w:rsidR="00500693" w:rsidRPr="00866903" w:rsidRDefault="00500693" w:rsidP="00500693">
      <w:pPr>
        <w:spacing w:line="234" w:lineRule="auto"/>
        <w:ind w:left="4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U razdoblju od 1.1.2023. do 30.6.2023. g. Općina </w:t>
      </w:r>
      <w:r w:rsidR="00707645">
        <w:rPr>
          <w:rFonts w:ascii="Times New Roman" w:eastAsia="Arial Narrow" w:hAnsi="Times New Roman" w:cs="Times New Roman"/>
          <w:sz w:val="24"/>
          <w:szCs w:val="24"/>
        </w:rPr>
        <w:t>Čepin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je ostvarila ukupne prihode i primitke u iznosu od </w:t>
      </w:r>
      <w:r w:rsidR="00707645">
        <w:rPr>
          <w:rFonts w:ascii="Times New Roman" w:eastAsia="Arial Narrow" w:hAnsi="Times New Roman" w:cs="Times New Roman"/>
          <w:sz w:val="24"/>
          <w:szCs w:val="24"/>
        </w:rPr>
        <w:t>4.812.216,61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 i ukupne rashode i izdatke u iznosu od </w:t>
      </w:r>
      <w:r w:rsidR="00707645">
        <w:rPr>
          <w:rFonts w:ascii="Times New Roman" w:eastAsia="Arial Narrow" w:hAnsi="Times New Roman" w:cs="Times New Roman"/>
          <w:sz w:val="24"/>
          <w:szCs w:val="24"/>
        </w:rPr>
        <w:t>4.736.371,95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eura. Navedeno rezultira </w:t>
      </w:r>
      <w:r w:rsidR="00707645">
        <w:rPr>
          <w:rFonts w:ascii="Times New Roman" w:eastAsia="Arial Narrow" w:hAnsi="Times New Roman" w:cs="Times New Roman"/>
          <w:sz w:val="24"/>
          <w:szCs w:val="24"/>
        </w:rPr>
        <w:t xml:space="preserve">viškom 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prihoda u iznosu od </w:t>
      </w:r>
      <w:r w:rsidR="00707645">
        <w:rPr>
          <w:rFonts w:ascii="Times New Roman" w:eastAsia="Arial Narrow" w:hAnsi="Times New Roman" w:cs="Times New Roman"/>
          <w:sz w:val="24"/>
          <w:szCs w:val="24"/>
        </w:rPr>
        <w:t xml:space="preserve">75.844,66 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eura. </w:t>
      </w:r>
      <w:r w:rsidR="00707645">
        <w:rPr>
          <w:rFonts w:ascii="Times New Roman" w:eastAsia="Arial Narrow" w:hAnsi="Times New Roman" w:cs="Times New Roman"/>
          <w:sz w:val="24"/>
          <w:szCs w:val="24"/>
        </w:rPr>
        <w:t>Manjak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prihoda i primitaka – preneseni iznosi </w:t>
      </w:r>
      <w:r w:rsidR="00707645">
        <w:rPr>
          <w:rFonts w:ascii="Times New Roman" w:eastAsia="Arial Narrow" w:hAnsi="Times New Roman" w:cs="Times New Roman"/>
          <w:sz w:val="24"/>
          <w:szCs w:val="24"/>
        </w:rPr>
        <w:t>115.456,45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eura.</w:t>
      </w:r>
    </w:p>
    <w:p w14:paraId="0F3DEE90" w14:textId="77777777" w:rsidR="00500693" w:rsidRPr="00866903" w:rsidRDefault="00500693" w:rsidP="00500693">
      <w:pPr>
        <w:spacing w:line="32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F5CAAD" w14:textId="37FA6E4A" w:rsidR="00500693" w:rsidRPr="00866903" w:rsidRDefault="00500693" w:rsidP="00500693">
      <w:pPr>
        <w:spacing w:line="0" w:lineRule="atLeast"/>
        <w:ind w:left="4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Manjak prihoda i primitaka za pokriće u sljedećem razdoblju iznosi </w:t>
      </w:r>
      <w:r w:rsidR="00707645">
        <w:rPr>
          <w:rFonts w:ascii="Times New Roman" w:eastAsia="Arial Narrow" w:hAnsi="Times New Roman" w:cs="Times New Roman"/>
          <w:sz w:val="24"/>
          <w:szCs w:val="24"/>
        </w:rPr>
        <w:t>39.611,79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eura.</w:t>
      </w:r>
    </w:p>
    <w:p w14:paraId="516D29CF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E9D7AB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03A36C" w14:textId="77777777" w:rsidR="00500693" w:rsidRPr="00866903" w:rsidRDefault="00500693" w:rsidP="00500693">
      <w:pPr>
        <w:spacing w:line="2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A13A15" w14:textId="77777777" w:rsidR="00500693" w:rsidRPr="00DD1ACF" w:rsidRDefault="00500693" w:rsidP="00500693">
      <w:pPr>
        <w:numPr>
          <w:ilvl w:val="0"/>
          <w:numId w:val="11"/>
        </w:numPr>
        <w:tabs>
          <w:tab w:val="left" w:pos="704"/>
        </w:tabs>
        <w:spacing w:line="0" w:lineRule="atLeast"/>
        <w:ind w:left="704" w:hanging="704"/>
        <w:rPr>
          <w:rFonts w:ascii="Times New Roman" w:eastAsia="Arial Narrow" w:hAnsi="Times New Roman" w:cs="Times New Roman"/>
          <w:b/>
          <w:sz w:val="24"/>
          <w:szCs w:val="24"/>
        </w:rPr>
      </w:pPr>
      <w:r w:rsidRPr="00DD1ACF">
        <w:rPr>
          <w:rFonts w:ascii="Times New Roman" w:eastAsia="Arial Narrow" w:hAnsi="Times New Roman" w:cs="Times New Roman"/>
          <w:b/>
          <w:sz w:val="24"/>
          <w:szCs w:val="24"/>
        </w:rPr>
        <w:t>STANJE NOVČANIH SREDSTAVA</w:t>
      </w:r>
    </w:p>
    <w:p w14:paraId="573DF4EB" w14:textId="77777777" w:rsidR="00500693" w:rsidRPr="00866903" w:rsidRDefault="00500693" w:rsidP="00500693">
      <w:pPr>
        <w:spacing w:line="1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030088" w14:textId="77777777" w:rsidR="00DA6F29" w:rsidRDefault="00500693" w:rsidP="00500693">
      <w:pPr>
        <w:spacing w:line="256" w:lineRule="auto"/>
        <w:ind w:left="4"/>
        <w:rPr>
          <w:rFonts w:ascii="Times New Roman" w:eastAsia="Arial Narrow" w:hAnsi="Times New Roman" w:cs="Times New Roman"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Stanje novčanih sredstva na žiro računu na dan 30.6.2023. godine iznosilo je </w:t>
      </w:r>
      <w:r w:rsidR="00DA6F29">
        <w:rPr>
          <w:rFonts w:ascii="Times New Roman" w:eastAsia="Arial Narrow" w:hAnsi="Times New Roman" w:cs="Times New Roman"/>
          <w:sz w:val="24"/>
          <w:szCs w:val="24"/>
        </w:rPr>
        <w:t>185.401,04</w:t>
      </w:r>
      <w:r w:rsidRPr="00866903">
        <w:rPr>
          <w:rFonts w:ascii="Times New Roman" w:eastAsia="Arial Narrow" w:hAnsi="Times New Roman" w:cs="Times New Roman"/>
          <w:sz w:val="24"/>
          <w:szCs w:val="24"/>
        </w:rPr>
        <w:t xml:space="preserve"> eura, </w:t>
      </w:r>
    </w:p>
    <w:p w14:paraId="7EE9CB89" w14:textId="43A71E8E" w:rsidR="00500693" w:rsidRPr="00866903" w:rsidRDefault="00DA6F29" w:rsidP="00500693">
      <w:pPr>
        <w:spacing w:line="256" w:lineRule="auto"/>
        <w:ind w:left="4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eastAsia="Arial Narrow" w:hAnsi="Times New Roman" w:cs="Times New Roman"/>
          <w:sz w:val="24"/>
          <w:szCs w:val="24"/>
        </w:rPr>
        <w:t>podračunu</w:t>
      </w:r>
      <w:proofErr w:type="spellEnd"/>
      <w:r>
        <w:rPr>
          <w:rFonts w:ascii="Times New Roman" w:eastAsia="Arial Narrow" w:hAnsi="Times New Roman" w:cs="Times New Roman"/>
          <w:sz w:val="24"/>
          <w:szCs w:val="24"/>
        </w:rPr>
        <w:t xml:space="preserve"> 10.501,66</w:t>
      </w:r>
      <w:r w:rsidR="00AD0024">
        <w:rPr>
          <w:rFonts w:ascii="Times New Roman" w:eastAsia="Arial Narrow" w:hAnsi="Times New Roman" w:cs="Times New Roman"/>
          <w:sz w:val="24"/>
          <w:szCs w:val="24"/>
        </w:rPr>
        <w:t xml:space="preserve"> eura,</w:t>
      </w:r>
      <w:r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500693" w:rsidRPr="00866903">
        <w:rPr>
          <w:rFonts w:ascii="Times New Roman" w:eastAsia="Arial Narrow" w:hAnsi="Times New Roman" w:cs="Times New Roman"/>
          <w:sz w:val="24"/>
          <w:szCs w:val="24"/>
        </w:rPr>
        <w:t xml:space="preserve">a stanje u blagajni na dan 30.6.2023. godine iznosilo je </w:t>
      </w:r>
      <w:r>
        <w:rPr>
          <w:rFonts w:ascii="Times New Roman" w:eastAsia="Arial Narrow" w:hAnsi="Times New Roman" w:cs="Times New Roman"/>
          <w:sz w:val="24"/>
          <w:szCs w:val="24"/>
        </w:rPr>
        <w:t>7</w:t>
      </w:r>
      <w:r w:rsidR="00184ACC">
        <w:rPr>
          <w:rFonts w:ascii="Times New Roman" w:eastAsia="Arial Narrow" w:hAnsi="Times New Roman" w:cs="Times New Roman"/>
          <w:sz w:val="24"/>
          <w:szCs w:val="24"/>
        </w:rPr>
        <w:t>30</w:t>
      </w:r>
      <w:r>
        <w:rPr>
          <w:rFonts w:ascii="Times New Roman" w:eastAsia="Arial Narrow" w:hAnsi="Times New Roman" w:cs="Times New Roman"/>
          <w:sz w:val="24"/>
          <w:szCs w:val="24"/>
        </w:rPr>
        <w:t>,</w:t>
      </w:r>
      <w:r w:rsidR="00184ACC">
        <w:rPr>
          <w:rFonts w:ascii="Times New Roman" w:eastAsia="Arial Narrow" w:hAnsi="Times New Roman" w:cs="Times New Roman"/>
          <w:sz w:val="24"/>
          <w:szCs w:val="24"/>
        </w:rPr>
        <w:t>48</w:t>
      </w:r>
      <w:r w:rsidR="00500693" w:rsidRPr="00866903">
        <w:rPr>
          <w:rFonts w:ascii="Times New Roman" w:eastAsia="Arial Narrow" w:hAnsi="Times New Roman" w:cs="Times New Roman"/>
          <w:sz w:val="24"/>
          <w:szCs w:val="24"/>
        </w:rPr>
        <w:t xml:space="preserve"> eura.</w:t>
      </w:r>
    </w:p>
    <w:p w14:paraId="6A3243BF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5DF5B1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A75215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04ADBE" w14:textId="77777777" w:rsidR="00500693" w:rsidRPr="00866903" w:rsidRDefault="00500693" w:rsidP="00500693">
      <w:pPr>
        <w:spacing w:line="3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8A421E" w14:textId="77777777" w:rsidR="00500693" w:rsidRPr="00DD1ACF" w:rsidRDefault="00500693" w:rsidP="00500693">
      <w:pPr>
        <w:numPr>
          <w:ilvl w:val="0"/>
          <w:numId w:val="12"/>
        </w:numPr>
        <w:tabs>
          <w:tab w:val="left" w:pos="704"/>
        </w:tabs>
        <w:spacing w:line="0" w:lineRule="atLeast"/>
        <w:ind w:left="704" w:hanging="704"/>
        <w:rPr>
          <w:rFonts w:ascii="Times New Roman" w:eastAsia="Arial Narrow" w:hAnsi="Times New Roman" w:cs="Times New Roman"/>
          <w:b/>
          <w:sz w:val="24"/>
          <w:szCs w:val="24"/>
        </w:rPr>
      </w:pPr>
      <w:r w:rsidRPr="00DD1ACF">
        <w:rPr>
          <w:rFonts w:ascii="Times New Roman" w:eastAsia="Arial Narrow" w:hAnsi="Times New Roman" w:cs="Times New Roman"/>
          <w:b/>
          <w:sz w:val="24"/>
          <w:szCs w:val="24"/>
        </w:rPr>
        <w:t>POSEBNI IZVJEŠTAJI U POLUGODIŠNJEM IZVJEŠTAJU O IZVRŠENJU PRORAČUNA</w:t>
      </w:r>
    </w:p>
    <w:p w14:paraId="6717488C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46FFED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D4CB23" w14:textId="77777777" w:rsidR="00500693" w:rsidRPr="00866903" w:rsidRDefault="00500693" w:rsidP="00500693">
      <w:pPr>
        <w:spacing w:line="2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81E5B7" w14:textId="77777777" w:rsidR="00500693" w:rsidRPr="00866903" w:rsidRDefault="00500693" w:rsidP="00500693">
      <w:pPr>
        <w:numPr>
          <w:ilvl w:val="0"/>
          <w:numId w:val="13"/>
        </w:numPr>
        <w:tabs>
          <w:tab w:val="left" w:pos="704"/>
        </w:tabs>
        <w:spacing w:line="0" w:lineRule="atLeast"/>
        <w:ind w:left="704" w:hanging="704"/>
        <w:rPr>
          <w:rFonts w:ascii="Times New Roman" w:eastAsia="Arial Narrow" w:hAnsi="Times New Roman" w:cs="Times New Roman"/>
          <w:b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>Izvještaj o korištenju proračunske zalihe</w:t>
      </w:r>
    </w:p>
    <w:p w14:paraId="155692D2" w14:textId="77777777" w:rsidR="00500693" w:rsidRPr="00866903" w:rsidRDefault="00500693" w:rsidP="00500693">
      <w:pPr>
        <w:spacing w:line="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4B4700" w14:textId="16224ED9" w:rsidR="00500693" w:rsidRPr="00866903" w:rsidRDefault="00500693" w:rsidP="00500693">
      <w:pPr>
        <w:spacing w:line="234" w:lineRule="auto"/>
        <w:ind w:left="24" w:right="600" w:hanging="23"/>
        <w:rPr>
          <w:rFonts w:ascii="Times New Roman" w:eastAsia="Times New Roman" w:hAnsi="Times New Roman" w:cs="Times New Roman"/>
          <w:sz w:val="24"/>
          <w:szCs w:val="24"/>
        </w:rPr>
      </w:pPr>
      <w:r w:rsidRPr="00866903">
        <w:rPr>
          <w:rFonts w:ascii="Times New Roman" w:eastAsia="Times New Roman" w:hAnsi="Times New Roman" w:cs="Times New Roman"/>
          <w:sz w:val="24"/>
          <w:szCs w:val="24"/>
        </w:rPr>
        <w:t xml:space="preserve">Općina </w:t>
      </w:r>
      <w:r w:rsidR="008A0F66">
        <w:rPr>
          <w:rFonts w:ascii="Times New Roman" w:eastAsia="Times New Roman" w:hAnsi="Times New Roman" w:cs="Times New Roman"/>
          <w:sz w:val="24"/>
          <w:szCs w:val="24"/>
        </w:rPr>
        <w:t xml:space="preserve">Čepin </w:t>
      </w:r>
      <w:r w:rsidRPr="00866903">
        <w:rPr>
          <w:rFonts w:ascii="Times New Roman" w:eastAsia="Times New Roman" w:hAnsi="Times New Roman" w:cs="Times New Roman"/>
          <w:sz w:val="24"/>
          <w:szCs w:val="24"/>
        </w:rPr>
        <w:t>u razdoblju od 1.1.2023. do 30.6.2023. godine nije koristila sredstva proračunske zalihe.</w:t>
      </w:r>
    </w:p>
    <w:p w14:paraId="23EF9422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129A9E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C27711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5E8E95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90C7F0" w14:textId="77777777" w:rsidR="00500693" w:rsidRPr="00866903" w:rsidRDefault="00500693" w:rsidP="00500693">
      <w:pPr>
        <w:spacing w:line="23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532BEA" w14:textId="77777777" w:rsidR="00500693" w:rsidRPr="00866903" w:rsidRDefault="00500693" w:rsidP="00500693">
      <w:pPr>
        <w:numPr>
          <w:ilvl w:val="0"/>
          <w:numId w:val="14"/>
        </w:numPr>
        <w:tabs>
          <w:tab w:val="left" w:pos="704"/>
        </w:tabs>
        <w:spacing w:line="0" w:lineRule="atLeast"/>
        <w:ind w:left="704" w:hanging="704"/>
        <w:rPr>
          <w:rFonts w:ascii="Times New Roman" w:eastAsia="Arial Narrow" w:hAnsi="Times New Roman" w:cs="Times New Roman"/>
          <w:b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>Izvještaj o zaduživanju na domaćem i stranom tržištu novca i kapitala</w:t>
      </w:r>
    </w:p>
    <w:p w14:paraId="24C86ECD" w14:textId="77777777" w:rsidR="00500693" w:rsidRPr="00866903" w:rsidRDefault="00500693" w:rsidP="00500693">
      <w:pPr>
        <w:spacing w:line="1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4F6A31" w14:textId="179FEE49" w:rsidR="00500693" w:rsidRDefault="00500693" w:rsidP="00500693">
      <w:pPr>
        <w:spacing w:line="0" w:lineRule="atLeast"/>
        <w:ind w:left="4"/>
        <w:rPr>
          <w:rFonts w:ascii="Times New Roman" w:eastAsia="Times New Roman" w:hAnsi="Times New Roman" w:cs="Times New Roman"/>
          <w:sz w:val="24"/>
          <w:szCs w:val="24"/>
        </w:rPr>
      </w:pPr>
      <w:r w:rsidRPr="00866903">
        <w:rPr>
          <w:rFonts w:ascii="Times New Roman" w:eastAsia="Times New Roman" w:hAnsi="Times New Roman" w:cs="Times New Roman"/>
          <w:sz w:val="24"/>
          <w:szCs w:val="24"/>
        </w:rPr>
        <w:t xml:space="preserve">Općina </w:t>
      </w:r>
      <w:r w:rsidR="00583E11">
        <w:rPr>
          <w:rFonts w:ascii="Times New Roman" w:eastAsia="Times New Roman" w:hAnsi="Times New Roman" w:cs="Times New Roman"/>
          <w:sz w:val="24"/>
          <w:szCs w:val="24"/>
        </w:rPr>
        <w:t>Čepin</w:t>
      </w:r>
      <w:r w:rsidRPr="00866903">
        <w:rPr>
          <w:rFonts w:ascii="Times New Roman" w:eastAsia="Times New Roman" w:hAnsi="Times New Roman" w:cs="Times New Roman"/>
          <w:sz w:val="24"/>
          <w:szCs w:val="24"/>
        </w:rPr>
        <w:t xml:space="preserve"> se u razdoblju od 1.1.2023. do 30.6.2023. godine  zadužila</w:t>
      </w:r>
      <w:r w:rsidR="00583E11">
        <w:rPr>
          <w:rFonts w:ascii="Times New Roman" w:eastAsia="Times New Roman" w:hAnsi="Times New Roman" w:cs="Times New Roman"/>
          <w:sz w:val="24"/>
          <w:szCs w:val="24"/>
        </w:rPr>
        <w:t xml:space="preserve"> se:</w:t>
      </w:r>
    </w:p>
    <w:p w14:paraId="11371D9D" w14:textId="354C5E63" w:rsidR="00543BD3" w:rsidRDefault="00543BD3" w:rsidP="00583E11">
      <w:pPr>
        <w:pStyle w:val="Odlomakpopisa"/>
        <w:numPr>
          <w:ilvl w:val="0"/>
          <w:numId w:val="18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Kratkoročni kredit -ostatak   40.053,18 eura</w:t>
      </w:r>
    </w:p>
    <w:p w14:paraId="28C1409A" w14:textId="4B0B7292" w:rsidR="00583E11" w:rsidRDefault="00583E11" w:rsidP="00583E11">
      <w:pPr>
        <w:pStyle w:val="Odlomakpopisa"/>
        <w:numPr>
          <w:ilvl w:val="0"/>
          <w:numId w:val="18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83E11">
        <w:rPr>
          <w:rFonts w:ascii="Times New Roman" w:eastAsia="Times New Roman" w:hAnsi="Times New Roman" w:cs="Times New Roman"/>
          <w:sz w:val="24"/>
          <w:szCs w:val="24"/>
        </w:rPr>
        <w:t>Kratkoročn</w:t>
      </w:r>
      <w:r>
        <w:rPr>
          <w:rFonts w:ascii="Times New Roman" w:eastAsia="Times New Roman" w:hAnsi="Times New Roman" w:cs="Times New Roman"/>
          <w:sz w:val="24"/>
          <w:szCs w:val="24"/>
        </w:rPr>
        <w:t>i kredit</w:t>
      </w:r>
      <w:r w:rsidRPr="00583E11">
        <w:rPr>
          <w:rFonts w:ascii="Times New Roman" w:eastAsia="Times New Roman" w:hAnsi="Times New Roman" w:cs="Times New Roman"/>
          <w:sz w:val="24"/>
          <w:szCs w:val="24"/>
        </w:rPr>
        <w:t xml:space="preserve"> na iznos 750.000,00 eura</w:t>
      </w:r>
    </w:p>
    <w:p w14:paraId="4F1BBABF" w14:textId="56168023" w:rsidR="00583E11" w:rsidRDefault="00583E11" w:rsidP="00583E11">
      <w:pPr>
        <w:pStyle w:val="Odlomakpopisa"/>
        <w:numPr>
          <w:ilvl w:val="0"/>
          <w:numId w:val="18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Kratkoročni kredit na iznos 750.000,00 eura</w:t>
      </w:r>
    </w:p>
    <w:p w14:paraId="572F9192" w14:textId="4DCDD74D" w:rsidR="00583E11" w:rsidRDefault="00583E11" w:rsidP="00583E11">
      <w:pPr>
        <w:pStyle w:val="Odlomakpopisa"/>
        <w:numPr>
          <w:ilvl w:val="0"/>
          <w:numId w:val="18"/>
        </w:num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Dugoročni kredit za izgradnju sportske dvorane 437.389,02 eur</w:t>
      </w:r>
      <w:r w:rsidR="00543BD3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59A9AAB9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075BA3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5373A6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8895AC" w14:textId="77777777" w:rsidR="00500693" w:rsidRPr="00866903" w:rsidRDefault="00500693" w:rsidP="00500693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E2D6C1" w14:textId="77777777" w:rsidR="00500693" w:rsidRPr="00866903" w:rsidRDefault="00500693" w:rsidP="00500693">
      <w:pPr>
        <w:numPr>
          <w:ilvl w:val="0"/>
          <w:numId w:val="15"/>
        </w:numPr>
        <w:tabs>
          <w:tab w:val="left" w:pos="704"/>
        </w:tabs>
        <w:spacing w:line="0" w:lineRule="atLeast"/>
        <w:ind w:left="704" w:hanging="704"/>
        <w:rPr>
          <w:rFonts w:ascii="Times New Roman" w:eastAsia="Arial Narrow" w:hAnsi="Times New Roman" w:cs="Times New Roman"/>
          <w:b/>
          <w:sz w:val="24"/>
          <w:szCs w:val="24"/>
        </w:rPr>
      </w:pPr>
      <w:r w:rsidRPr="00866903">
        <w:rPr>
          <w:rFonts w:ascii="Times New Roman" w:eastAsia="Arial Narrow" w:hAnsi="Times New Roman" w:cs="Times New Roman"/>
          <w:b/>
          <w:sz w:val="24"/>
          <w:szCs w:val="24"/>
        </w:rPr>
        <w:t>Izvještaj o danim jamstvima i plaćanjima po protestiranim jamstvima</w:t>
      </w:r>
    </w:p>
    <w:p w14:paraId="155579D7" w14:textId="77777777" w:rsidR="00500693" w:rsidRPr="00866903" w:rsidRDefault="00500693" w:rsidP="00500693">
      <w:pPr>
        <w:spacing w:line="17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2FEAC6" w14:textId="2AE3718E" w:rsidR="00500693" w:rsidRPr="00866903" w:rsidRDefault="00500693" w:rsidP="00500693">
      <w:pPr>
        <w:spacing w:line="0" w:lineRule="atLeast"/>
        <w:ind w:left="4"/>
        <w:rPr>
          <w:rFonts w:ascii="Times New Roman" w:eastAsia="Times New Roman" w:hAnsi="Times New Roman" w:cs="Times New Roman"/>
          <w:sz w:val="24"/>
          <w:szCs w:val="24"/>
        </w:rPr>
      </w:pPr>
      <w:r w:rsidRPr="00866903">
        <w:rPr>
          <w:rFonts w:ascii="Times New Roman" w:eastAsia="Times New Roman" w:hAnsi="Times New Roman" w:cs="Times New Roman"/>
          <w:sz w:val="24"/>
          <w:szCs w:val="24"/>
        </w:rPr>
        <w:t xml:space="preserve">U razdoblju od 1.1.2023. do 30.6.2023. godine Općina </w:t>
      </w:r>
      <w:r w:rsidR="008A0F66">
        <w:rPr>
          <w:rFonts w:ascii="Times New Roman" w:eastAsia="Times New Roman" w:hAnsi="Times New Roman" w:cs="Times New Roman"/>
          <w:sz w:val="24"/>
          <w:szCs w:val="24"/>
        </w:rPr>
        <w:t>Čepin</w:t>
      </w:r>
      <w:r w:rsidRPr="00866903">
        <w:rPr>
          <w:rFonts w:ascii="Times New Roman" w:eastAsia="Times New Roman" w:hAnsi="Times New Roman" w:cs="Times New Roman"/>
          <w:sz w:val="24"/>
          <w:szCs w:val="24"/>
        </w:rPr>
        <w:t xml:space="preserve"> nije davala jamstva.</w:t>
      </w:r>
    </w:p>
    <w:p w14:paraId="484E7436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CD23FF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EAA216" w14:textId="77777777" w:rsidR="00500693" w:rsidRPr="00866903" w:rsidRDefault="00500693" w:rsidP="0050069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1CADA0" w14:textId="77777777" w:rsidR="00500693" w:rsidRDefault="00500693"/>
    <w:p w14:paraId="382D7EED" w14:textId="77777777" w:rsidR="00500693" w:rsidRDefault="00500693"/>
    <w:p w14:paraId="5C294D0D" w14:textId="77777777" w:rsidR="00500693" w:rsidRDefault="00500693"/>
    <w:p w14:paraId="6EC07A9A" w14:textId="77777777" w:rsidR="00500693" w:rsidRDefault="00500693"/>
    <w:p w14:paraId="6751D1CF" w14:textId="77777777" w:rsidR="00500693" w:rsidRDefault="00500693"/>
    <w:p w14:paraId="74D8B3D3" w14:textId="77777777" w:rsidR="00500693" w:rsidRDefault="00500693"/>
    <w:p w14:paraId="6022BFE3" w14:textId="77777777" w:rsidR="00500693" w:rsidRDefault="00500693"/>
    <w:sectPr w:rsidR="00500693" w:rsidSect="005006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41D13" w14:textId="77777777" w:rsidR="008473F2" w:rsidRDefault="008473F2">
      <w:r>
        <w:separator/>
      </w:r>
    </w:p>
  </w:endnote>
  <w:endnote w:type="continuationSeparator" w:id="0">
    <w:p w14:paraId="0FA548C2" w14:textId="77777777" w:rsidR="008473F2" w:rsidRDefault="008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582D" w14:textId="77777777" w:rsidR="00500693" w:rsidRDefault="00500693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5747417" w14:textId="77777777" w:rsidR="00500693" w:rsidRDefault="0050069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4CB99" w14:textId="77777777" w:rsidR="008473F2" w:rsidRDefault="008473F2">
      <w:r>
        <w:separator/>
      </w:r>
    </w:p>
  </w:footnote>
  <w:footnote w:type="continuationSeparator" w:id="0">
    <w:p w14:paraId="75E64543" w14:textId="77777777" w:rsidR="008473F2" w:rsidRDefault="0084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BD062C2"/>
    <w:lvl w:ilvl="0" w:tplc="FFFFFFFF">
      <w:start w:val="2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2200854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DB127F8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0216231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F16E9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190CDE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6EF438C"/>
    <w:lvl w:ilvl="0" w:tplc="FFFFFFFF">
      <w:start w:val="1"/>
      <w:numFmt w:val="bullet"/>
      <w:lvlText w:val="✓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40E0F76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3352255A"/>
    <w:lvl w:ilvl="0" w:tplc="FFFFFFFF">
      <w:start w:val="1"/>
      <w:numFmt w:val="low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09CF92E"/>
    <w:lvl w:ilvl="0" w:tplc="FFFFFFFF">
      <w:start w:val="2"/>
      <w:numFmt w:val="lowerLetter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0DED726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7FDCC2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1BEFD79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41A7C4C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4E6AFB66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25E45D3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398555D7"/>
    <w:multiLevelType w:val="hybridMultilevel"/>
    <w:tmpl w:val="43186206"/>
    <w:lvl w:ilvl="0" w:tplc="635C39AE">
      <w:start w:val="1"/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num w:numId="1" w16cid:durableId="1420829430">
    <w:abstractNumId w:val="2"/>
  </w:num>
  <w:num w:numId="2" w16cid:durableId="1677147245">
    <w:abstractNumId w:val="3"/>
  </w:num>
  <w:num w:numId="3" w16cid:durableId="1470047918">
    <w:abstractNumId w:val="4"/>
  </w:num>
  <w:num w:numId="4" w16cid:durableId="623542088">
    <w:abstractNumId w:val="5"/>
  </w:num>
  <w:num w:numId="5" w16cid:durableId="1049843143">
    <w:abstractNumId w:val="6"/>
  </w:num>
  <w:num w:numId="6" w16cid:durableId="81487812">
    <w:abstractNumId w:val="7"/>
  </w:num>
  <w:num w:numId="7" w16cid:durableId="452985805">
    <w:abstractNumId w:val="8"/>
  </w:num>
  <w:num w:numId="8" w16cid:durableId="32115444">
    <w:abstractNumId w:val="9"/>
  </w:num>
  <w:num w:numId="9" w16cid:durableId="1395201853">
    <w:abstractNumId w:val="10"/>
  </w:num>
  <w:num w:numId="10" w16cid:durableId="929775339">
    <w:abstractNumId w:val="11"/>
  </w:num>
  <w:num w:numId="11" w16cid:durableId="2066709824">
    <w:abstractNumId w:val="12"/>
  </w:num>
  <w:num w:numId="12" w16cid:durableId="1696925470">
    <w:abstractNumId w:val="13"/>
  </w:num>
  <w:num w:numId="13" w16cid:durableId="1105732028">
    <w:abstractNumId w:val="14"/>
  </w:num>
  <w:num w:numId="14" w16cid:durableId="1630436467">
    <w:abstractNumId w:val="15"/>
  </w:num>
  <w:num w:numId="15" w16cid:durableId="508717530">
    <w:abstractNumId w:val="16"/>
  </w:num>
  <w:num w:numId="16" w16cid:durableId="1904679743">
    <w:abstractNumId w:val="0"/>
  </w:num>
  <w:num w:numId="17" w16cid:durableId="2009481374">
    <w:abstractNumId w:val="1"/>
  </w:num>
  <w:num w:numId="18" w16cid:durableId="1553417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93"/>
    <w:rsid w:val="00114F04"/>
    <w:rsid w:val="00144CFD"/>
    <w:rsid w:val="00184ACC"/>
    <w:rsid w:val="001B4DDD"/>
    <w:rsid w:val="002C5883"/>
    <w:rsid w:val="002D5DF4"/>
    <w:rsid w:val="00372A2D"/>
    <w:rsid w:val="00500693"/>
    <w:rsid w:val="00501D56"/>
    <w:rsid w:val="00542B62"/>
    <w:rsid w:val="00543BD3"/>
    <w:rsid w:val="00583E11"/>
    <w:rsid w:val="006045C7"/>
    <w:rsid w:val="006634FB"/>
    <w:rsid w:val="0068232B"/>
    <w:rsid w:val="00687351"/>
    <w:rsid w:val="00696CD8"/>
    <w:rsid w:val="00707645"/>
    <w:rsid w:val="007822BC"/>
    <w:rsid w:val="007C0191"/>
    <w:rsid w:val="008473F2"/>
    <w:rsid w:val="00866903"/>
    <w:rsid w:val="008A0F66"/>
    <w:rsid w:val="009658DB"/>
    <w:rsid w:val="009663EF"/>
    <w:rsid w:val="009771CF"/>
    <w:rsid w:val="009E2442"/>
    <w:rsid w:val="00A64698"/>
    <w:rsid w:val="00AA69FE"/>
    <w:rsid w:val="00AD0024"/>
    <w:rsid w:val="00B1438D"/>
    <w:rsid w:val="00C87451"/>
    <w:rsid w:val="00D17E59"/>
    <w:rsid w:val="00DA0D53"/>
    <w:rsid w:val="00DA6F29"/>
    <w:rsid w:val="00DD1ACF"/>
    <w:rsid w:val="00E24B59"/>
    <w:rsid w:val="00E650E7"/>
    <w:rsid w:val="00F8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EEA2"/>
  <w15:chartTrackingRefBased/>
  <w15:docId w15:val="{2C8BE364-9EB8-4158-9ECC-C776E1ED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693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069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0693"/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0069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0693"/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58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OpcinaPCY</dc:creator>
  <cp:keywords/>
  <dc:description/>
  <cp:lastModifiedBy>Kresimir Crnkovic</cp:lastModifiedBy>
  <cp:revision>2</cp:revision>
  <cp:lastPrinted>2023-09-18T07:33:00Z</cp:lastPrinted>
  <dcterms:created xsi:type="dcterms:W3CDTF">2023-09-21T06:46:00Z</dcterms:created>
  <dcterms:modified xsi:type="dcterms:W3CDTF">2023-09-21T06:46:00Z</dcterms:modified>
</cp:coreProperties>
</file>